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DC805">
      <w:pPr>
        <w:keepNext w:val="0"/>
        <w:keepLines w:val="0"/>
        <w:pageBreakBefore w:val="0"/>
        <w:kinsoku/>
        <w:wordWrap/>
        <w:overflowPunct/>
        <w:topLinePunct w:val="0"/>
        <w:bidi w:val="0"/>
        <w:spacing w:line="240" w:lineRule="auto"/>
        <w:jc w:val="center"/>
        <w:textAlignment w:val="auto"/>
        <w:rPr>
          <w:rFonts w:hint="eastAsia" w:ascii="黑体" w:hAnsi="黑体" w:eastAsia="黑体" w:cs="黑体"/>
          <w:b/>
          <w:sz w:val="30"/>
          <w:szCs w:val="30"/>
          <w:lang w:eastAsia="zh-CN"/>
        </w:rPr>
      </w:pPr>
      <w:r>
        <w:rPr>
          <w:rFonts w:hint="eastAsia" w:ascii="黑体" w:hAnsi="黑体" w:eastAsia="黑体" w:cs="黑体"/>
          <w:b/>
          <w:sz w:val="32"/>
          <w:szCs w:val="32"/>
          <w:highlight w:val="none"/>
        </w:rPr>
        <w:t>20</w:t>
      </w:r>
      <w:r>
        <w:rPr>
          <w:rFonts w:hint="eastAsia" w:ascii="黑体" w:hAnsi="黑体" w:eastAsia="黑体" w:cs="黑体"/>
          <w:b/>
          <w:sz w:val="32"/>
          <w:szCs w:val="32"/>
          <w:highlight w:val="none"/>
          <w:lang w:val="en-US" w:eastAsia="zh-CN"/>
        </w:rPr>
        <w:t>26年</w:t>
      </w:r>
      <w:r>
        <w:rPr>
          <w:rFonts w:hint="eastAsia" w:ascii="黑体" w:hAnsi="黑体" w:eastAsia="黑体" w:cs="黑体"/>
          <w:b/>
          <w:sz w:val="32"/>
          <w:szCs w:val="32"/>
        </w:rPr>
        <w:t>西班牙萨拉戈萨大学学期交流项目</w:t>
      </w:r>
      <w:r>
        <w:rPr>
          <w:rFonts w:hint="eastAsia" w:ascii="黑体" w:hAnsi="黑体" w:eastAsia="黑体" w:cs="黑体"/>
          <w:b/>
          <w:sz w:val="32"/>
          <w:szCs w:val="32"/>
          <w:lang w:eastAsia="zh-CN"/>
        </w:rPr>
        <w:t>（</w:t>
      </w:r>
      <w:r>
        <w:rPr>
          <w:rFonts w:hint="eastAsia" w:ascii="黑体" w:hAnsi="黑体" w:eastAsia="黑体" w:cs="黑体"/>
          <w:b/>
          <w:sz w:val="32"/>
          <w:szCs w:val="32"/>
          <w:lang w:val="en-US" w:eastAsia="zh-CN"/>
        </w:rPr>
        <w:t>上海商学院</w:t>
      </w:r>
      <w:r>
        <w:rPr>
          <w:rFonts w:hint="eastAsia" w:ascii="黑体" w:hAnsi="黑体" w:eastAsia="黑体" w:cs="黑体"/>
          <w:b/>
          <w:sz w:val="32"/>
          <w:szCs w:val="32"/>
          <w:lang w:eastAsia="zh-CN"/>
        </w:rPr>
        <w:t>）</w:t>
      </w:r>
    </w:p>
    <w:p w14:paraId="0D8EC667">
      <w:pPr>
        <w:keepNext w:val="0"/>
        <w:keepLines w:val="0"/>
        <w:pageBreakBefore w:val="0"/>
        <w:numPr>
          <w:ilvl w:val="0"/>
          <w:numId w:val="0"/>
        </w:numPr>
        <w:kinsoku/>
        <w:wordWrap/>
        <w:overflowPunct/>
        <w:topLinePunct w:val="0"/>
        <w:bidi w:val="0"/>
        <w:spacing w:line="240" w:lineRule="auto"/>
        <w:ind w:leftChars="0"/>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英语学分课程</w:t>
      </w:r>
      <w:r>
        <w:rPr>
          <w:rFonts w:hint="eastAsia" w:ascii="仿宋" w:hAnsi="仿宋" w:eastAsia="仿宋" w:cs="仿宋"/>
          <w:b/>
          <w:sz w:val="28"/>
          <w:szCs w:val="28"/>
          <w:lang w:eastAsia="zh-CN"/>
        </w:rPr>
        <w:t>）</w:t>
      </w:r>
    </w:p>
    <w:p w14:paraId="1973438B">
      <w:pPr>
        <w:keepNext w:val="0"/>
        <w:keepLines w:val="0"/>
        <w:pageBreakBefore w:val="0"/>
        <w:numPr>
          <w:ilvl w:val="0"/>
          <w:numId w:val="1"/>
        </w:numPr>
        <w:kinsoku/>
        <w:wordWrap/>
        <w:overflowPunct/>
        <w:topLinePunct w:val="0"/>
        <w:bidi w:val="0"/>
        <w:spacing w:line="240" w:lineRule="auto"/>
        <w:ind w:left="420" w:leftChars="0" w:hanging="420" w:firstLineChars="0"/>
        <w:jc w:val="left"/>
        <w:textAlignment w:val="auto"/>
        <w:rPr>
          <w:rFonts w:hint="eastAsia" w:ascii="仿宋" w:hAnsi="仿宋" w:eastAsia="仿宋" w:cs="仿宋"/>
          <w:b/>
          <w:sz w:val="20"/>
          <w:szCs w:val="20"/>
          <w:lang w:eastAsia="zh-CN"/>
        </w:rPr>
      </w:pPr>
      <w:r>
        <w:rPr>
          <w:rFonts w:hint="eastAsia" w:ascii="仿宋" w:hAnsi="仿宋" w:eastAsia="仿宋" w:cs="仿宋"/>
          <w:b/>
          <w:sz w:val="20"/>
          <w:szCs w:val="20"/>
          <w:lang w:eastAsia="zh-CN"/>
        </w:rPr>
        <w:t>项目背景介绍：</w:t>
      </w:r>
    </w:p>
    <w:p w14:paraId="6D858702">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为推动中国高校国际化人才培养、提升在读学生的海外学习与跨文化能力，在中国高校合作倡议下，西班牙公立大学于2026–2027学年面向中国合作院校开放部分英语授课本科阶段学分课程（原为欧盟境内高校Erasmus交换课程），欢迎具备一定英语学习能力、对欧洲及西语国家多元文化感兴趣的欧盟外学生，赴西班牙开展为期一学期或一学年的交流学习。</w:t>
      </w:r>
    </w:p>
    <w:p w14:paraId="6AB1BA3E">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kern w:val="0"/>
          <w:sz w:val="20"/>
          <w:szCs w:val="20"/>
          <w:lang w:val="en-US" w:eastAsia="zh-CN" w:bidi="ar-SA"/>
        </w:rPr>
      </w:pPr>
    </w:p>
    <w:p w14:paraId="2C664E44">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近年来，中西关系持续深化，西班牙在中欧合作、国际贸易、文化与教育交流中扮演着重要角色，同时作为连接欧洲与拉丁美洲的关键枢纽，西班牙语在国际商务、工程、能源、基建及文化产业中的战略价值日益凸显。相较英美国家高昂的教育与生活成本，西班牙作为欧洲高福利国家，其优质大学体系以公立大学为主，享受欧盟及政府教育补贴，交流学生仅需缴纳注册费，整体学习与生活成本约为5–6万元人民币/学期，性价比显著。</w:t>
      </w:r>
    </w:p>
    <w:p w14:paraId="189F8365">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kern w:val="0"/>
          <w:sz w:val="20"/>
          <w:szCs w:val="20"/>
          <w:lang w:val="en-US" w:eastAsia="zh-CN" w:bidi="ar-SA"/>
        </w:rPr>
      </w:pPr>
    </w:p>
    <w:p w14:paraId="0FE26415">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交流期间，学生可合法通行申根29国，在可控成本下获得真实、深入的欧洲学习与生活体验。完成交流后，表现优秀且有意继续深造的学生，可选择在西班牙继续攻读硕士学位（1年制，英语或西语授课），学费约为5000–5万元人民币/专业，在可控投入下获得欧洲高等教育学历，且该学历受中国教育部认可，可用于求职、考公及一线城市落户，为未来国际化发展提供更具弹性的路径选择。</w:t>
      </w:r>
    </w:p>
    <w:p w14:paraId="08EA1467">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kern w:val="0"/>
          <w:sz w:val="20"/>
          <w:szCs w:val="20"/>
          <w:lang w:val="en-US" w:eastAsia="zh-CN" w:bidi="ar-SA"/>
        </w:rPr>
      </w:pPr>
    </w:p>
    <w:p w14:paraId="5B9FF079">
      <w:pPr>
        <w:keepNext w:val="0"/>
        <w:keepLines w:val="0"/>
        <w:pageBreakBefore w:val="0"/>
        <w:numPr>
          <w:ilvl w:val="0"/>
          <w:numId w:val="1"/>
        </w:numPr>
        <w:kinsoku/>
        <w:wordWrap/>
        <w:overflowPunct/>
        <w:topLinePunct w:val="0"/>
        <w:bidi w:val="0"/>
        <w:spacing w:line="240" w:lineRule="auto"/>
        <w:ind w:left="420" w:leftChars="0" w:hanging="420" w:firstLineChars="0"/>
        <w:jc w:val="left"/>
        <w:textAlignment w:val="auto"/>
        <w:rPr>
          <w:rFonts w:hint="eastAsia" w:ascii="仿宋" w:hAnsi="仿宋" w:eastAsia="仿宋" w:cs="仿宋"/>
          <w:b/>
          <w:sz w:val="20"/>
          <w:szCs w:val="20"/>
          <w:lang w:eastAsia="zh-CN"/>
        </w:rPr>
      </w:pPr>
      <w:r>
        <w:rPr>
          <w:rFonts w:hint="eastAsia" w:ascii="仿宋" w:hAnsi="仿宋" w:eastAsia="仿宋" w:cs="仿宋"/>
          <w:b/>
          <w:sz w:val="20"/>
          <w:szCs w:val="20"/>
          <w:lang w:eastAsia="zh-CN"/>
        </w:rPr>
        <w:t>院校简介：</w:t>
      </w:r>
    </w:p>
    <w:p w14:paraId="7C3F6007">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lang w:val="en-US" w:eastAsia="zh-CN" w:bidi="ar-SA"/>
        </w:rPr>
        <w:t>萨拉戈萨大学成立于1474年，是拥有500多年历史的西班牙著名公立大学。该大学是直属西班牙教育部的9所重点大学之一，是西班牙阿拉贡自治区唯一的公立大学，集合了自治区内所有教育及科研相关资源。1906年，毕业于萨拉戈萨大学医学院的圣地亚哥·拉蒙-卡哈尔因其对神经元的发现为西班牙拿下第一座诺贝尔医学奖。萨拉戈萨大学是国际交流，学生互换是活跃度最高的西班牙大学之一，全校7%的学生为国际学生，博士层次10%的学生为外国学生。</w:t>
      </w:r>
    </w:p>
    <w:p w14:paraId="05AEA40D">
      <w:pPr>
        <w:keepNext w:val="0"/>
        <w:keepLines w:val="0"/>
        <w:pageBreakBefore w:val="0"/>
        <w:kinsoku/>
        <w:wordWrap/>
        <w:overflowPunct/>
        <w:topLinePunct w:val="0"/>
        <w:autoSpaceDE w:val="0"/>
        <w:autoSpaceDN w:val="0"/>
        <w:bidi w:val="0"/>
        <w:adjustRightInd w:val="0"/>
        <w:snapToGrid w:val="0"/>
        <w:spacing w:line="240" w:lineRule="atLeast"/>
        <w:jc w:val="left"/>
        <w:textAlignment w:val="auto"/>
        <w:outlineLvl w:val="9"/>
        <w:rPr>
          <w:rFonts w:hint="eastAsia" w:ascii="仿宋" w:hAnsi="仿宋" w:eastAsia="仿宋" w:cs="仿宋"/>
          <w:b/>
          <w:bCs/>
          <w:kern w:val="0"/>
          <w:sz w:val="20"/>
          <w:szCs w:val="20"/>
          <w:lang w:eastAsia="zh-CN"/>
        </w:rPr>
      </w:pPr>
    </w:p>
    <w:p w14:paraId="7157BAA4">
      <w:pPr>
        <w:keepNext w:val="0"/>
        <w:keepLines w:val="0"/>
        <w:pageBreakBefore w:val="0"/>
        <w:widowControl w:val="0"/>
        <w:numPr>
          <w:ilvl w:val="0"/>
          <w:numId w:val="1"/>
        </w:numPr>
        <w:kinsoku/>
        <w:wordWrap/>
        <w:overflowPunct/>
        <w:topLinePunct w:val="0"/>
        <w:bidi w:val="0"/>
        <w:spacing w:line="240" w:lineRule="auto"/>
        <w:ind w:left="420" w:leftChars="0" w:hanging="420" w:firstLineChars="0"/>
        <w:jc w:val="left"/>
        <w:textAlignment w:val="auto"/>
        <w:rPr>
          <w:rFonts w:hint="eastAsia" w:ascii="仿宋" w:hAnsi="仿宋" w:eastAsia="仿宋" w:cs="仿宋"/>
          <w:b/>
          <w:sz w:val="20"/>
          <w:szCs w:val="20"/>
          <w:lang w:eastAsia="zh-CN"/>
        </w:rPr>
      </w:pPr>
      <w:r>
        <w:rPr>
          <w:rFonts w:hint="eastAsia" w:ascii="仿宋" w:hAnsi="仿宋" w:eastAsia="仿宋" w:cs="仿宋"/>
          <w:b/>
          <w:sz w:val="20"/>
          <w:szCs w:val="20"/>
          <w:lang w:eastAsia="zh-CN"/>
        </w:rPr>
        <w:t>选择萨拉戈萨大学的重要原因：</w:t>
      </w:r>
    </w:p>
    <w:p w14:paraId="2CA1D7C8">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w:t>
      </w:r>
      <w:r>
        <w:rPr>
          <w:rFonts w:hint="eastAsia" w:ascii="仿宋" w:hAnsi="仿宋" w:eastAsia="仿宋" w:cs="仿宋"/>
          <w:b/>
          <w:bCs/>
          <w:color w:val="C00000"/>
          <w:kern w:val="0"/>
          <w:sz w:val="20"/>
          <w:szCs w:val="20"/>
          <w:lang w:eastAsia="zh-CN"/>
        </w:rPr>
        <w:t>成立于1</w:t>
      </w:r>
      <w:r>
        <w:rPr>
          <w:rFonts w:hint="eastAsia" w:ascii="仿宋" w:hAnsi="仿宋" w:eastAsia="仿宋" w:cs="仿宋"/>
          <w:b/>
          <w:bCs/>
          <w:color w:val="C00000"/>
          <w:kern w:val="0"/>
          <w:sz w:val="20"/>
          <w:szCs w:val="20"/>
          <w:lang w:val="en-US" w:eastAsia="zh-CN"/>
        </w:rPr>
        <w:t>474</w:t>
      </w:r>
      <w:r>
        <w:rPr>
          <w:rFonts w:hint="eastAsia" w:ascii="仿宋" w:hAnsi="仿宋" w:eastAsia="仿宋" w:cs="仿宋"/>
          <w:b/>
          <w:bCs/>
          <w:color w:val="C00000"/>
          <w:kern w:val="0"/>
          <w:sz w:val="20"/>
          <w:szCs w:val="20"/>
          <w:lang w:eastAsia="zh-CN"/>
        </w:rPr>
        <w:t>年</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历史优秀，</w:t>
      </w:r>
      <w:r>
        <w:rPr>
          <w:rFonts w:hint="eastAsia" w:ascii="仿宋" w:hAnsi="仿宋" w:eastAsia="仿宋" w:cs="仿宋"/>
          <w:kern w:val="0"/>
          <w:sz w:val="20"/>
          <w:szCs w:val="20"/>
          <w:lang w:eastAsia="zh-CN"/>
        </w:rPr>
        <w:t>西班牙教育部直属的9所大学之一；自2003年起位列上海软科世界大学学术排名世界500强大学之列，名列世界大学排名前2%</w:t>
      </w:r>
    </w:p>
    <w:p w14:paraId="6675E4C8">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1906年医学院教授拉蒙-卡哈尔因其对</w:t>
      </w:r>
      <w:r>
        <w:rPr>
          <w:rFonts w:hint="eastAsia" w:ascii="仿宋" w:hAnsi="仿宋" w:eastAsia="仿宋" w:cs="仿宋"/>
          <w:b/>
          <w:bCs/>
          <w:color w:val="C00000"/>
          <w:kern w:val="0"/>
          <w:sz w:val="20"/>
          <w:szCs w:val="20"/>
          <w:lang w:eastAsia="zh-CN"/>
        </w:rPr>
        <w:t>神经元</w:t>
      </w:r>
      <w:r>
        <w:rPr>
          <w:rFonts w:hint="eastAsia" w:ascii="仿宋" w:hAnsi="仿宋" w:eastAsia="仿宋" w:cs="仿宋"/>
          <w:kern w:val="0"/>
          <w:sz w:val="20"/>
          <w:szCs w:val="20"/>
          <w:lang w:eastAsia="zh-CN"/>
        </w:rPr>
        <w:t>的发现为西班牙拿下</w:t>
      </w:r>
      <w:r>
        <w:rPr>
          <w:rFonts w:hint="eastAsia" w:ascii="仿宋" w:hAnsi="仿宋" w:eastAsia="仿宋" w:cs="仿宋"/>
          <w:b/>
          <w:bCs/>
          <w:color w:val="C00000"/>
          <w:kern w:val="0"/>
          <w:sz w:val="20"/>
          <w:szCs w:val="20"/>
          <w:lang w:eastAsia="zh-CN"/>
        </w:rPr>
        <w:t>第一座诺贝尔医学奖</w:t>
      </w:r>
      <w:r>
        <w:rPr>
          <w:rFonts w:hint="eastAsia" w:ascii="仿宋" w:hAnsi="仿宋" w:eastAsia="仿宋" w:cs="仿宋"/>
          <w:kern w:val="0"/>
          <w:sz w:val="20"/>
          <w:szCs w:val="20"/>
          <w:lang w:eastAsia="zh-CN"/>
        </w:rPr>
        <w:t>，并曾邀请</w:t>
      </w:r>
      <w:r>
        <w:rPr>
          <w:rFonts w:hint="eastAsia" w:ascii="仿宋" w:hAnsi="仿宋" w:eastAsia="仿宋" w:cs="仿宋"/>
          <w:b/>
          <w:bCs/>
          <w:color w:val="C00000"/>
          <w:kern w:val="0"/>
          <w:sz w:val="20"/>
          <w:szCs w:val="20"/>
          <w:lang w:eastAsia="zh-CN"/>
        </w:rPr>
        <w:t>爱因斯坦到萨拉戈萨大学讲学</w:t>
      </w:r>
      <w:r>
        <w:rPr>
          <w:rFonts w:hint="eastAsia" w:ascii="仿宋" w:hAnsi="仿宋" w:eastAsia="仿宋" w:cs="仿宋"/>
          <w:kern w:val="0"/>
          <w:sz w:val="20"/>
          <w:szCs w:val="20"/>
          <w:lang w:eastAsia="zh-CN"/>
        </w:rPr>
        <w:t>。</w:t>
      </w:r>
    </w:p>
    <w:p w14:paraId="3DC60F04">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西班牙教学科研综合排名第七，专利回报全国第二，在西班牙国家经济发展部认可的29个</w:t>
      </w:r>
      <w:r>
        <w:rPr>
          <w:rFonts w:hint="eastAsia" w:ascii="仿宋" w:hAnsi="仿宋" w:eastAsia="仿宋" w:cs="仿宋"/>
          <w:b/>
          <w:bCs/>
          <w:color w:val="C00000"/>
          <w:kern w:val="0"/>
          <w:sz w:val="20"/>
          <w:szCs w:val="20"/>
          <w:lang w:eastAsia="zh-CN"/>
        </w:rPr>
        <w:t>国家重点实验室</w:t>
      </w:r>
      <w:r>
        <w:rPr>
          <w:rFonts w:hint="eastAsia" w:ascii="仿宋" w:hAnsi="仿宋" w:eastAsia="仿宋" w:cs="仿宋"/>
          <w:kern w:val="0"/>
          <w:sz w:val="20"/>
          <w:szCs w:val="20"/>
          <w:lang w:eastAsia="zh-CN"/>
        </w:rPr>
        <w:t xml:space="preserve">中，有4个位于萨拉戈萨大学，分别为：坎夫兰克地下实验室、超级计算机实验室，高级显微镜实验室，纳米材料生物医药研发实验室 </w:t>
      </w:r>
    </w:p>
    <w:p w14:paraId="74AAFB10">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b/>
          <w:bCs/>
          <w:color w:val="C00000"/>
          <w:kern w:val="0"/>
          <w:sz w:val="20"/>
          <w:szCs w:val="20"/>
          <w:lang w:eastAsia="zh-CN"/>
        </w:rPr>
        <w:t>萨拉戈萨大学积极参与欧洲科研合作，累计获得超过三亿欧元项目资助，拥有卓越的科研创新能力与国际影响力，并主持的多个欧盟ERC项目</w:t>
      </w:r>
      <w:r>
        <w:rPr>
          <w:rFonts w:hint="eastAsia" w:ascii="仿宋" w:hAnsi="仿宋" w:eastAsia="仿宋" w:cs="仿宋"/>
          <w:kern w:val="0"/>
          <w:sz w:val="20"/>
          <w:szCs w:val="20"/>
          <w:lang w:eastAsia="zh-CN"/>
        </w:rPr>
        <w:t>：</w:t>
      </w:r>
    </w:p>
    <w:p w14:paraId="2624ECA5">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240" w:lineRule="auto"/>
        <w:ind w:leftChars="0" w:firstLine="400" w:firstLineChars="20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lang w:eastAsia="zh-CN"/>
        </w:rPr>
        <w:t>坎夫兰克地下实验室为欧洲第二大深地物理实验室，承担</w:t>
      </w:r>
      <w:r>
        <w:rPr>
          <w:rFonts w:hint="eastAsia" w:ascii="仿宋" w:hAnsi="仿宋" w:eastAsia="仿宋" w:cs="仿宋"/>
          <w:b/>
          <w:bCs/>
          <w:color w:val="C00000"/>
          <w:kern w:val="0"/>
          <w:sz w:val="20"/>
          <w:szCs w:val="20"/>
          <w:lang w:eastAsia="zh-CN"/>
        </w:rPr>
        <w:t>宇宙暗物质</w:t>
      </w:r>
      <w:r>
        <w:rPr>
          <w:rFonts w:hint="eastAsia" w:ascii="仿宋" w:hAnsi="仿宋" w:eastAsia="仿宋" w:cs="仿宋"/>
          <w:kern w:val="0"/>
          <w:sz w:val="20"/>
          <w:szCs w:val="20"/>
          <w:lang w:eastAsia="zh-CN"/>
        </w:rPr>
        <w:t>重大实验项目研究。</w:t>
      </w:r>
    </w:p>
    <w:p w14:paraId="0D69F45B">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240" w:lineRule="auto"/>
        <w:ind w:leftChars="0" w:firstLine="400" w:firstLineChars="20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lang w:eastAsia="zh-CN"/>
        </w:rPr>
        <w:t>在生物医学及纳米医学上持续有重大突破，包括</w:t>
      </w:r>
      <w:r>
        <w:rPr>
          <w:rFonts w:hint="eastAsia" w:ascii="仿宋" w:hAnsi="仿宋" w:eastAsia="仿宋" w:cs="仿宋"/>
          <w:b/>
          <w:bCs/>
          <w:color w:val="C00000"/>
          <w:kern w:val="0"/>
          <w:sz w:val="20"/>
          <w:szCs w:val="20"/>
          <w:lang w:eastAsia="zh-CN"/>
        </w:rPr>
        <w:t>纳米医学及癌症靶向药</w:t>
      </w:r>
      <w:r>
        <w:rPr>
          <w:rFonts w:hint="eastAsia" w:ascii="仿宋" w:hAnsi="仿宋" w:eastAsia="仿宋" w:cs="仿宋"/>
          <w:kern w:val="0"/>
          <w:sz w:val="20"/>
          <w:szCs w:val="20"/>
          <w:lang w:eastAsia="zh-CN"/>
        </w:rPr>
        <w:t>研究；材料分析在生物医学上的应用；线粒体疾病治疗靶点研究；克罗恩病研究；儿童癌症项目研究。在生物医学上，大学多次获得欧洲研究委员会的高级资助，累积312万欧元。</w:t>
      </w:r>
    </w:p>
    <w:p w14:paraId="33505D3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240" w:lineRule="auto"/>
        <w:ind w:leftChars="0" w:firstLine="400" w:firstLineChars="20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lang w:eastAsia="zh-CN"/>
        </w:rPr>
        <w:t>工程与材料科学领域的创新及突破：</w:t>
      </w:r>
      <w:r>
        <w:rPr>
          <w:rFonts w:hint="eastAsia" w:ascii="仿宋" w:hAnsi="仿宋" w:eastAsia="仿宋" w:cs="仿宋"/>
          <w:b/>
          <w:bCs/>
          <w:color w:val="C00000"/>
          <w:kern w:val="0"/>
          <w:sz w:val="20"/>
          <w:szCs w:val="20"/>
          <w:lang w:eastAsia="zh-CN"/>
        </w:rPr>
        <w:t>光伏</w:t>
      </w:r>
      <w:r>
        <w:rPr>
          <w:rFonts w:hint="eastAsia" w:ascii="仿宋" w:hAnsi="仿宋" w:eastAsia="仿宋" w:cs="仿宋"/>
          <w:kern w:val="0"/>
          <w:sz w:val="20"/>
          <w:szCs w:val="20"/>
          <w:lang w:eastAsia="zh-CN"/>
        </w:rPr>
        <w:t>技术与建筑陶瓷结合；</w:t>
      </w:r>
      <w:r>
        <w:rPr>
          <w:rFonts w:hint="eastAsia" w:ascii="仿宋" w:hAnsi="仿宋" w:eastAsia="仿宋" w:cs="仿宋"/>
          <w:b/>
          <w:bCs/>
          <w:color w:val="C00000"/>
          <w:kern w:val="0"/>
          <w:sz w:val="20"/>
          <w:szCs w:val="20"/>
          <w:lang w:eastAsia="zh-CN"/>
        </w:rPr>
        <w:t>风能</w:t>
      </w:r>
      <w:r>
        <w:rPr>
          <w:rFonts w:hint="eastAsia" w:ascii="仿宋" w:hAnsi="仿宋" w:eastAsia="仿宋" w:cs="仿宋"/>
          <w:kern w:val="0"/>
          <w:sz w:val="20"/>
          <w:szCs w:val="20"/>
          <w:lang w:eastAsia="zh-CN"/>
        </w:rPr>
        <w:t>数字化，提高可再生能源效率。</w:t>
      </w:r>
    </w:p>
    <w:p w14:paraId="0E20C992">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w:t>
      </w:r>
      <w:r>
        <w:rPr>
          <w:rFonts w:hint="eastAsia" w:ascii="仿宋" w:hAnsi="仿宋" w:eastAsia="仿宋" w:cs="仿宋"/>
          <w:b/>
          <w:bCs/>
          <w:color w:val="C00000"/>
          <w:kern w:val="0"/>
          <w:sz w:val="20"/>
          <w:szCs w:val="20"/>
          <w:lang w:eastAsia="zh-CN"/>
        </w:rPr>
        <w:t>小型家用电器研发全球排名第二</w:t>
      </w:r>
      <w:r>
        <w:rPr>
          <w:rFonts w:hint="eastAsia" w:ascii="仿宋" w:hAnsi="仿宋" w:eastAsia="仿宋" w:cs="仿宋"/>
          <w:kern w:val="0"/>
          <w:sz w:val="20"/>
          <w:szCs w:val="20"/>
          <w:lang w:eastAsia="zh-CN"/>
        </w:rPr>
        <w:t>，仅次于加州大学各分校的联盟</w:t>
      </w:r>
    </w:p>
    <w:p w14:paraId="2856F11F">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2023年QS世界大学排名</w:t>
      </w:r>
      <w:r>
        <w:rPr>
          <w:rFonts w:hint="eastAsia" w:ascii="仿宋" w:hAnsi="仿宋" w:eastAsia="仿宋" w:cs="仿宋"/>
          <w:b/>
          <w:bCs/>
          <w:color w:val="C00000"/>
          <w:kern w:val="0"/>
          <w:sz w:val="20"/>
          <w:szCs w:val="20"/>
          <w:lang w:eastAsia="zh-CN"/>
        </w:rPr>
        <w:t>与华东师范大学排名同；</w:t>
      </w:r>
      <w:r>
        <w:rPr>
          <w:rFonts w:hint="eastAsia" w:ascii="仿宋" w:hAnsi="仿宋" w:eastAsia="仿宋" w:cs="仿宋"/>
          <w:kern w:val="0"/>
          <w:sz w:val="20"/>
          <w:szCs w:val="20"/>
          <w:lang w:eastAsia="zh-CN"/>
        </w:rPr>
        <w:t>2024年QS全球大学排名位列No.523位；202</w:t>
      </w: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lang w:eastAsia="zh-CN"/>
        </w:rPr>
        <w:t>年QS全球大学排名位列No.</w:t>
      </w:r>
      <w:r>
        <w:rPr>
          <w:rFonts w:hint="eastAsia" w:ascii="仿宋" w:hAnsi="仿宋" w:eastAsia="仿宋" w:cs="仿宋"/>
          <w:kern w:val="0"/>
          <w:sz w:val="20"/>
          <w:szCs w:val="20"/>
          <w:lang w:val="en-US" w:eastAsia="zh-CN"/>
        </w:rPr>
        <w:t>638</w:t>
      </w:r>
      <w:r>
        <w:rPr>
          <w:rFonts w:hint="eastAsia" w:ascii="仿宋" w:hAnsi="仿宋" w:eastAsia="仿宋" w:cs="仿宋"/>
          <w:kern w:val="0"/>
          <w:sz w:val="20"/>
          <w:szCs w:val="20"/>
          <w:lang w:eastAsia="zh-CN"/>
        </w:rPr>
        <w:t>位</w:t>
      </w:r>
    </w:p>
    <w:p w14:paraId="27500B6C">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全球100强专业：食品科学技术全球第47位，兽医学世界前75名</w:t>
      </w:r>
    </w:p>
    <w:p w14:paraId="790990BF">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w:t>
      </w:r>
      <w:r>
        <w:rPr>
          <w:rFonts w:hint="eastAsia" w:ascii="仿宋" w:hAnsi="仿宋" w:eastAsia="仿宋" w:cs="仿宋"/>
          <w:b/>
          <w:bCs/>
          <w:color w:val="C00000"/>
          <w:kern w:val="0"/>
          <w:sz w:val="20"/>
          <w:szCs w:val="20"/>
          <w:lang w:eastAsia="zh-CN"/>
        </w:rPr>
        <w:t>旅游酒店管理</w:t>
      </w:r>
      <w:r>
        <w:rPr>
          <w:rFonts w:hint="eastAsia" w:ascii="仿宋" w:hAnsi="仿宋" w:eastAsia="仿宋" w:cs="仿宋"/>
          <w:kern w:val="0"/>
          <w:sz w:val="20"/>
          <w:szCs w:val="20"/>
          <w:lang w:eastAsia="zh-CN"/>
        </w:rPr>
        <w:t xml:space="preserve"> 全球前150名</w:t>
      </w:r>
    </w:p>
    <w:p w14:paraId="05A8482B">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世界前200名专业：材料科学、纳米科学、生物医学工程、化学</w:t>
      </w:r>
    </w:p>
    <w:p w14:paraId="164677E6">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世界前300名专业：计算机科学、机械工程、地球科学、农业、化学工程、电子工程、数学、物理及天文学、</w:t>
      </w:r>
      <w:r>
        <w:rPr>
          <w:rFonts w:hint="eastAsia" w:ascii="仿宋" w:hAnsi="仿宋" w:eastAsia="仿宋" w:cs="仿宋"/>
          <w:b/>
          <w:bCs/>
          <w:color w:val="C00000"/>
          <w:kern w:val="0"/>
          <w:sz w:val="20"/>
          <w:szCs w:val="20"/>
          <w:lang w:eastAsia="zh-CN"/>
        </w:rPr>
        <w:t>经济学</w:t>
      </w:r>
      <w:r>
        <w:rPr>
          <w:rFonts w:hint="eastAsia" w:ascii="仿宋" w:hAnsi="仿宋" w:eastAsia="仿宋" w:cs="仿宋"/>
          <w:kern w:val="0"/>
          <w:sz w:val="20"/>
          <w:szCs w:val="20"/>
          <w:lang w:eastAsia="zh-CN"/>
        </w:rPr>
        <w:t>、法学、</w:t>
      </w:r>
      <w:r>
        <w:rPr>
          <w:rFonts w:hint="eastAsia" w:ascii="仿宋" w:hAnsi="仿宋" w:eastAsia="仿宋" w:cs="仿宋"/>
          <w:b/>
          <w:bCs/>
          <w:color w:val="C00000"/>
          <w:kern w:val="0"/>
          <w:sz w:val="20"/>
          <w:szCs w:val="20"/>
          <w:lang w:eastAsia="zh-CN"/>
        </w:rPr>
        <w:t>现代语言学</w:t>
      </w:r>
    </w:p>
    <w:p w14:paraId="14CB6C23">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w:t>
      </w:r>
      <w:r>
        <w:rPr>
          <w:rFonts w:hint="eastAsia" w:ascii="仿宋" w:hAnsi="仿宋" w:eastAsia="仿宋" w:cs="仿宋"/>
          <w:b/>
          <w:bCs/>
          <w:color w:val="C00000"/>
          <w:kern w:val="0"/>
          <w:sz w:val="20"/>
          <w:szCs w:val="20"/>
          <w:lang w:eastAsia="zh-CN"/>
        </w:rPr>
        <w:t>麻省理工学院</w:t>
      </w:r>
      <w:r>
        <w:rPr>
          <w:rFonts w:hint="eastAsia" w:ascii="仿宋" w:hAnsi="仿宋" w:eastAsia="仿宋" w:cs="仿宋"/>
          <w:kern w:val="0"/>
          <w:sz w:val="20"/>
          <w:szCs w:val="20"/>
          <w:lang w:eastAsia="zh-CN"/>
        </w:rPr>
        <w:t>物流及供应链管理硕士欧洲唯一教学点，西班牙单科第一</w:t>
      </w:r>
    </w:p>
    <w:p w14:paraId="7675BD68">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第一所开设对外西班牙语课程的西班牙大学（1927年）</w:t>
      </w:r>
    </w:p>
    <w:p w14:paraId="1B6B53B8">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西班牙教育部塞万提斯学院认证的语言教学中心，</w:t>
      </w:r>
      <w:r>
        <w:rPr>
          <w:rFonts w:hint="eastAsia" w:ascii="仿宋" w:hAnsi="仿宋" w:eastAsia="仿宋" w:cs="仿宋"/>
          <w:b/>
          <w:bCs/>
          <w:color w:val="C00000"/>
          <w:kern w:val="0"/>
          <w:sz w:val="20"/>
          <w:szCs w:val="20"/>
          <w:lang w:eastAsia="zh-CN"/>
        </w:rPr>
        <w:t>DELE/SIELE考点</w:t>
      </w:r>
    </w:p>
    <w:p w14:paraId="77605C55">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val="0"/>
        <w:spacing w:line="240" w:lineRule="auto"/>
        <w:ind w:left="420" w:leftChars="0" w:hanging="420" w:firstLineChars="0"/>
        <w:jc w:val="left"/>
        <w:textAlignment w:val="auto"/>
        <w:outlineLvl w:val="9"/>
        <w:rPr>
          <w:rFonts w:hint="eastAsia" w:ascii="仿宋" w:hAnsi="仿宋" w:eastAsia="仿宋" w:cs="仿宋"/>
          <w:b/>
          <w:sz w:val="20"/>
          <w:szCs w:val="20"/>
          <w:lang w:eastAsia="zh-CN"/>
        </w:rPr>
      </w:pPr>
      <w:r>
        <w:rPr>
          <w:rFonts w:hint="eastAsia" w:ascii="仿宋" w:hAnsi="仿宋" w:eastAsia="仿宋" w:cs="仿宋"/>
          <w:kern w:val="0"/>
          <w:sz w:val="20"/>
          <w:szCs w:val="20"/>
          <w:lang w:eastAsia="zh-CN"/>
        </w:rPr>
        <w:t>如今每年接受来自世界上70多个国家的超过2000名国际学生学习，</w:t>
      </w:r>
      <w:r>
        <w:rPr>
          <w:rFonts w:hint="eastAsia" w:ascii="仿宋" w:hAnsi="仿宋" w:eastAsia="仿宋" w:cs="仿宋"/>
          <w:b/>
          <w:bCs/>
          <w:color w:val="C00000"/>
          <w:kern w:val="0"/>
          <w:sz w:val="20"/>
          <w:szCs w:val="20"/>
          <w:lang w:eastAsia="zh-CN"/>
        </w:rPr>
        <w:t>国际化程度高</w:t>
      </w:r>
    </w:p>
    <w:p w14:paraId="23E661E6">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240" w:lineRule="auto"/>
        <w:ind w:leftChars="0"/>
        <w:jc w:val="left"/>
        <w:textAlignment w:val="auto"/>
        <w:outlineLvl w:val="9"/>
        <w:rPr>
          <w:rFonts w:hint="eastAsia" w:ascii="仿宋" w:hAnsi="仿宋" w:eastAsia="仿宋" w:cs="仿宋"/>
          <w:kern w:val="0"/>
          <w:sz w:val="20"/>
          <w:szCs w:val="20"/>
          <w:lang w:eastAsia="zh-CN"/>
        </w:rPr>
      </w:pPr>
    </w:p>
    <w:tbl>
      <w:tblPr>
        <w:tblStyle w:val="6"/>
        <w:tblW w:w="9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14:paraId="58C5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7D9F59A0">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240" w:lineRule="auto"/>
              <w:jc w:val="left"/>
              <w:textAlignment w:val="auto"/>
              <w:outlineLvl w:val="9"/>
              <w:rPr>
                <w:rFonts w:hint="eastAsia" w:ascii="仿宋" w:hAnsi="仿宋" w:eastAsia="仿宋" w:cs="仿宋"/>
                <w:kern w:val="0"/>
                <w:sz w:val="20"/>
                <w:szCs w:val="20"/>
                <w:vertAlign w:val="baseline"/>
                <w:lang w:eastAsia="zh-CN"/>
              </w:rPr>
            </w:pPr>
            <w:r>
              <w:rPr>
                <w:rFonts w:hint="eastAsia" w:ascii="仿宋" w:hAnsi="仿宋" w:eastAsia="仿宋" w:cs="仿宋"/>
                <w:b/>
                <w:kern w:val="0"/>
                <w:sz w:val="20"/>
                <w:szCs w:val="20"/>
              </w:rPr>
              <w:drawing>
                <wp:inline distT="0" distB="0" distL="0" distR="0">
                  <wp:extent cx="3005455" cy="2065655"/>
                  <wp:effectExtent l="0" t="0" r="4445" b="10795"/>
                  <wp:docPr id="17" name="图片 6" descr="C:\Users\Administrator\Desktop\paraninfo.jpgparan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C:\Users\Administrator\Desktop\paraninfo.jpgparaninfo"/>
                          <pic:cNvPicPr>
                            <a:picLocks noChangeAspect="1"/>
                          </pic:cNvPicPr>
                        </pic:nvPicPr>
                        <pic:blipFill>
                          <a:blip r:embed="rId5"/>
                          <a:srcRect/>
                          <a:stretch>
                            <a:fillRect/>
                          </a:stretch>
                        </pic:blipFill>
                        <pic:spPr>
                          <a:xfrm>
                            <a:off x="0" y="0"/>
                            <a:ext cx="3005455" cy="2065655"/>
                          </a:xfrm>
                          <a:prstGeom prst="rect">
                            <a:avLst/>
                          </a:prstGeom>
                        </pic:spPr>
                      </pic:pic>
                    </a:graphicData>
                  </a:graphic>
                </wp:inline>
              </w:drawing>
            </w:r>
          </w:p>
        </w:tc>
        <w:tc>
          <w:tcPr>
            <w:tcW w:w="4981" w:type="dxa"/>
          </w:tcPr>
          <w:p w14:paraId="309ACDD4">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240" w:lineRule="auto"/>
              <w:jc w:val="left"/>
              <w:textAlignment w:val="auto"/>
              <w:outlineLvl w:val="9"/>
              <w:rPr>
                <w:rFonts w:hint="eastAsia" w:ascii="仿宋" w:hAnsi="仿宋" w:eastAsia="仿宋" w:cs="仿宋"/>
                <w:kern w:val="0"/>
                <w:sz w:val="20"/>
                <w:szCs w:val="20"/>
                <w:vertAlign w:val="baseline"/>
                <w:lang w:eastAsia="zh-CN"/>
              </w:rPr>
            </w:pPr>
            <w:r>
              <w:rPr>
                <w:rFonts w:hint="eastAsia" w:ascii="仿宋" w:hAnsi="仿宋" w:eastAsia="仿宋" w:cs="仿宋"/>
                <w:sz w:val="20"/>
                <w:szCs w:val="20"/>
              </w:rPr>
              <w:drawing>
                <wp:inline distT="0" distB="0" distL="114300" distR="114300">
                  <wp:extent cx="3110865" cy="2069465"/>
                  <wp:effectExtent l="0" t="0" r="13335" b="6985"/>
                  <wp:docPr id="11" name="图片 7" descr="0512_1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0512_1g.jpg"/>
                          <pic:cNvPicPr>
                            <a:picLocks noChangeAspect="1"/>
                          </pic:cNvPicPr>
                        </pic:nvPicPr>
                        <pic:blipFill>
                          <a:blip r:embed="rId6"/>
                          <a:stretch>
                            <a:fillRect/>
                          </a:stretch>
                        </pic:blipFill>
                        <pic:spPr>
                          <a:xfrm>
                            <a:off x="0" y="0"/>
                            <a:ext cx="3110865" cy="2069465"/>
                          </a:xfrm>
                          <a:prstGeom prst="rect">
                            <a:avLst/>
                          </a:prstGeom>
                        </pic:spPr>
                      </pic:pic>
                    </a:graphicData>
                  </a:graphic>
                </wp:inline>
              </w:drawing>
            </w:r>
          </w:p>
        </w:tc>
      </w:tr>
    </w:tbl>
    <w:p w14:paraId="71CA5FAA">
      <w:pPr>
        <w:keepNext w:val="0"/>
        <w:keepLines w:val="0"/>
        <w:pageBreakBefore w:val="0"/>
        <w:widowControl w:val="0"/>
        <w:numPr>
          <w:ilvl w:val="0"/>
          <w:numId w:val="0"/>
        </w:numPr>
        <w:kinsoku/>
        <w:wordWrap/>
        <w:overflowPunct/>
        <w:topLinePunct w:val="0"/>
        <w:bidi w:val="0"/>
        <w:spacing w:line="240" w:lineRule="auto"/>
        <w:jc w:val="left"/>
        <w:textAlignment w:val="auto"/>
        <w:rPr>
          <w:rFonts w:hint="eastAsia" w:ascii="仿宋" w:hAnsi="仿宋" w:eastAsia="仿宋" w:cs="仿宋"/>
          <w:b/>
          <w:sz w:val="20"/>
          <w:szCs w:val="20"/>
          <w:lang w:eastAsia="zh-CN"/>
        </w:rPr>
      </w:pPr>
    </w:p>
    <w:p w14:paraId="07EC5440">
      <w:pPr>
        <w:keepNext w:val="0"/>
        <w:keepLines w:val="0"/>
        <w:pageBreakBefore w:val="0"/>
        <w:numPr>
          <w:ilvl w:val="0"/>
          <w:numId w:val="1"/>
        </w:numPr>
        <w:kinsoku/>
        <w:wordWrap/>
        <w:overflowPunct/>
        <w:topLinePunct w:val="0"/>
        <w:bidi w:val="0"/>
        <w:spacing w:line="240" w:lineRule="auto"/>
        <w:jc w:val="left"/>
        <w:textAlignment w:val="auto"/>
        <w:rPr>
          <w:rFonts w:hint="eastAsia" w:ascii="仿宋" w:hAnsi="仿宋" w:eastAsia="仿宋" w:cs="仿宋"/>
          <w:b/>
          <w:sz w:val="20"/>
          <w:szCs w:val="20"/>
        </w:rPr>
      </w:pPr>
      <w:r>
        <w:rPr>
          <w:rFonts w:hint="eastAsia" w:ascii="仿宋" w:hAnsi="仿宋" w:eastAsia="仿宋" w:cs="仿宋"/>
          <w:b/>
          <w:sz w:val="20"/>
          <w:szCs w:val="20"/>
          <w:lang w:val="en-US" w:eastAsia="zh-CN"/>
        </w:rPr>
        <w:t>英语学分课程（交流生项目）</w:t>
      </w:r>
      <w:r>
        <w:rPr>
          <w:rFonts w:hint="eastAsia" w:ascii="仿宋" w:hAnsi="仿宋" w:eastAsia="仿宋" w:cs="仿宋"/>
          <w:b/>
          <w:sz w:val="20"/>
          <w:szCs w:val="20"/>
        </w:rPr>
        <w:t>：</w:t>
      </w:r>
    </w:p>
    <w:p w14:paraId="479D8F10">
      <w:pPr>
        <w:keepNext w:val="0"/>
        <w:keepLines w:val="0"/>
        <w:pageBreakBefore w:val="0"/>
        <w:numPr>
          <w:ilvl w:val="0"/>
          <w:numId w:val="3"/>
        </w:numPr>
        <w:kinsoku/>
        <w:wordWrap/>
        <w:overflowPunct/>
        <w:topLinePunct w:val="0"/>
        <w:bidi w:val="0"/>
        <w:spacing w:line="240" w:lineRule="auto"/>
        <w:jc w:val="left"/>
        <w:textAlignment w:val="auto"/>
        <w:rPr>
          <w:rFonts w:hint="eastAsia" w:ascii="仿宋" w:hAnsi="仿宋" w:eastAsia="仿宋" w:cs="仿宋"/>
          <w:b/>
          <w:sz w:val="20"/>
          <w:szCs w:val="20"/>
          <w:lang w:val="es-ES"/>
        </w:rPr>
      </w:pPr>
      <w:r>
        <w:rPr>
          <w:rFonts w:hint="eastAsia" w:ascii="仿宋" w:hAnsi="仿宋" w:eastAsia="仿宋" w:cs="仿宋"/>
          <w:b/>
          <w:sz w:val="20"/>
          <w:szCs w:val="20"/>
        </w:rPr>
        <w:t>课程</w:t>
      </w:r>
      <w:r>
        <w:rPr>
          <w:rFonts w:hint="eastAsia" w:ascii="仿宋" w:hAnsi="仿宋" w:eastAsia="仿宋" w:cs="仿宋"/>
          <w:b/>
          <w:sz w:val="20"/>
          <w:szCs w:val="20"/>
          <w:lang w:val="en-US" w:eastAsia="zh-CN"/>
        </w:rPr>
        <w:t>时间及费用（每学期的总课时数为276-304课时）</w:t>
      </w:r>
    </w:p>
    <w:tbl>
      <w:tblPr>
        <w:tblStyle w:val="6"/>
        <w:tblW w:w="10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4654"/>
        <w:gridCol w:w="1262"/>
        <w:gridCol w:w="1245"/>
      </w:tblGrid>
      <w:tr w14:paraId="677E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2476EE7">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学习时长</w:t>
            </w:r>
          </w:p>
        </w:tc>
        <w:tc>
          <w:tcPr>
            <w:tcW w:w="4654" w:type="dxa"/>
          </w:tcPr>
          <w:p w14:paraId="50A0F352">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课程内容</w:t>
            </w:r>
          </w:p>
        </w:tc>
        <w:tc>
          <w:tcPr>
            <w:tcW w:w="1262" w:type="dxa"/>
            <w:vAlign w:val="top"/>
          </w:tcPr>
          <w:p w14:paraId="3DBBC22C">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学费</w:t>
            </w:r>
          </w:p>
        </w:tc>
        <w:tc>
          <w:tcPr>
            <w:tcW w:w="1245" w:type="dxa"/>
          </w:tcPr>
          <w:p w14:paraId="43F887B9">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注册费</w:t>
            </w:r>
          </w:p>
        </w:tc>
      </w:tr>
      <w:tr w14:paraId="0D8B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04C27A5">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秋季学期</w:t>
            </w:r>
          </w:p>
          <w:p w14:paraId="7CFED352">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（9月3日至1月27日）</w:t>
            </w:r>
          </w:p>
        </w:tc>
        <w:tc>
          <w:tcPr>
            <w:tcW w:w="4654" w:type="dxa"/>
            <w:vAlign w:val="center"/>
          </w:tcPr>
          <w:p w14:paraId="6AC10C3D">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1门西语课（必修）</w:t>
            </w:r>
          </w:p>
          <w:p w14:paraId="0DEC7BCA">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3门英语授课专业课（必修、科目自选）</w:t>
            </w:r>
          </w:p>
        </w:tc>
        <w:tc>
          <w:tcPr>
            <w:tcW w:w="1262" w:type="dxa"/>
            <w:vAlign w:val="center"/>
          </w:tcPr>
          <w:p w14:paraId="5C4F9207">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3600欧</w:t>
            </w:r>
          </w:p>
        </w:tc>
        <w:tc>
          <w:tcPr>
            <w:tcW w:w="1245" w:type="dxa"/>
            <w:vAlign w:val="center"/>
          </w:tcPr>
          <w:p w14:paraId="09480832">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2000元</w:t>
            </w:r>
          </w:p>
        </w:tc>
      </w:tr>
    </w:tbl>
    <w:p w14:paraId="38E871D5">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sz w:val="20"/>
          <w:szCs w:val="20"/>
          <w:lang w:val="en-US" w:eastAsia="zh-CN"/>
        </w:rPr>
      </w:pPr>
    </w:p>
    <w:p w14:paraId="2248F486">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课程备注：</w:t>
      </w:r>
    </w:p>
    <w:p w14:paraId="3C2F1BC8">
      <w:pPr>
        <w:keepNext w:val="0"/>
        <w:keepLines w:val="0"/>
        <w:pageBreakBefore w:val="0"/>
        <w:numPr>
          <w:ilvl w:val="0"/>
          <w:numId w:val="0"/>
        </w:numPr>
        <w:kinsoku/>
        <w:wordWrap/>
        <w:overflowPunct/>
        <w:topLinePunct w:val="0"/>
        <w:bidi w:val="0"/>
        <w:spacing w:line="240" w:lineRule="auto"/>
        <w:jc w:val="left"/>
        <w:textAlignment w:val="auto"/>
        <w:rPr>
          <w:rFonts w:hint="default"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 西班牙语零基础入门课的主要教学目标为西班牙语语言及文化的入门，以便帮助中国学生更好地适应本地生活；已有西语基础的同学则在入学后进行分班考试，学校将按等级分班；项目入学时对西语无等级要求；</w:t>
      </w:r>
    </w:p>
    <w:p w14:paraId="7E45267E">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 有意向在西班牙进行西班牙语授课硕士申请的同学，有意掌握专业西班牙语的同学，可在进行交流课程申请时，专门向申请老师提出增加西班牙语课时（减少英语学分课）</w:t>
      </w:r>
    </w:p>
    <w:p w14:paraId="745ABD39">
      <w:pPr>
        <w:keepNext w:val="0"/>
        <w:keepLines w:val="0"/>
        <w:pageBreakBefore w:val="0"/>
        <w:numPr>
          <w:ilvl w:val="0"/>
          <w:numId w:val="0"/>
        </w:numPr>
        <w:kinsoku/>
        <w:wordWrap/>
        <w:overflowPunct/>
        <w:topLinePunct w:val="0"/>
        <w:bidi w:val="0"/>
        <w:spacing w:line="240" w:lineRule="auto"/>
        <w:jc w:val="left"/>
        <w:textAlignment w:val="auto"/>
        <w:rPr>
          <w:rFonts w:hint="default"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 课程日期及学费目前以萨大2025年校历及学费做为参考，最终信息应以2026年学校的正式录取通知书及授课老师安排为准。</w:t>
      </w:r>
    </w:p>
    <w:p w14:paraId="14AC8B52">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sz w:val="20"/>
          <w:szCs w:val="20"/>
          <w:lang w:val="en-US" w:eastAsia="zh-CN"/>
        </w:rPr>
      </w:pPr>
    </w:p>
    <w:p w14:paraId="1D6B3138">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可选英语学分课程参考</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8"/>
        <w:gridCol w:w="826"/>
        <w:gridCol w:w="1867"/>
      </w:tblGrid>
      <w:tr w14:paraId="3195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88" w:type="dxa"/>
            <w:vAlign w:val="center"/>
          </w:tcPr>
          <w:p w14:paraId="15297202">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课程名称</w:t>
            </w:r>
          </w:p>
        </w:tc>
        <w:tc>
          <w:tcPr>
            <w:tcW w:w="826" w:type="dxa"/>
            <w:vAlign w:val="center"/>
          </w:tcPr>
          <w:p w14:paraId="7DAAE8A4">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ECTS学分</w:t>
            </w:r>
          </w:p>
        </w:tc>
        <w:tc>
          <w:tcPr>
            <w:tcW w:w="1867" w:type="dxa"/>
            <w:vAlign w:val="center"/>
          </w:tcPr>
          <w:p w14:paraId="5A57AA40">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学期</w:t>
            </w:r>
          </w:p>
        </w:tc>
      </w:tr>
      <w:tr w14:paraId="120D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64740636">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 xml:space="preserve">Applied Econometrics </w:t>
            </w:r>
            <w:r>
              <w:rPr>
                <w:rFonts w:hint="eastAsia" w:ascii="仿宋" w:hAnsi="仿宋" w:eastAsia="仿宋" w:cs="仿宋"/>
                <w:b w:val="0"/>
                <w:bCs/>
                <w:sz w:val="20"/>
                <w:szCs w:val="20"/>
                <w:lang w:val="en-US" w:eastAsia="zh-CN"/>
              </w:rPr>
              <w:fldChar w:fldCharType="begin"/>
            </w:r>
            <w:r>
              <w:rPr>
                <w:rFonts w:hint="eastAsia" w:ascii="仿宋" w:hAnsi="仿宋" w:eastAsia="仿宋" w:cs="仿宋"/>
                <w:b w:val="0"/>
                <w:bCs/>
                <w:sz w:val="20"/>
                <w:szCs w:val="20"/>
                <w:lang w:val="en-US" w:eastAsia="zh-CN"/>
              </w:rPr>
              <w:instrText xml:space="preserve"> HYPERLINK "https://estudios.unizar.es/estudio/asignatura?anyo_academico=2022&amp;asignatura_id=27332&amp;estudio_id=20220131&amp;centro_id=109&amp;plan_id_nk=448" </w:instrText>
            </w:r>
            <w:r>
              <w:rPr>
                <w:rFonts w:hint="eastAsia" w:ascii="仿宋" w:hAnsi="仿宋" w:eastAsia="仿宋" w:cs="仿宋"/>
                <w:b w:val="0"/>
                <w:bCs/>
                <w:sz w:val="20"/>
                <w:szCs w:val="20"/>
                <w:lang w:val="en-US" w:eastAsia="zh-CN"/>
              </w:rPr>
              <w:fldChar w:fldCharType="separate"/>
            </w:r>
            <w:r>
              <w:rPr>
                <w:rFonts w:hint="eastAsia" w:ascii="仿宋" w:hAnsi="仿宋" w:eastAsia="仿宋" w:cs="仿宋"/>
                <w:b w:val="0"/>
                <w:bCs/>
                <w:sz w:val="20"/>
                <w:szCs w:val="20"/>
                <w:lang w:val="en-US" w:eastAsia="zh-CN"/>
              </w:rPr>
              <w:t>for Business</w:t>
            </w:r>
            <w:r>
              <w:rPr>
                <w:rFonts w:hint="eastAsia" w:ascii="仿宋" w:hAnsi="仿宋" w:eastAsia="仿宋" w:cs="仿宋"/>
                <w:b w:val="0"/>
                <w:bCs/>
                <w:sz w:val="20"/>
                <w:szCs w:val="20"/>
                <w:lang w:val="en-US" w:eastAsia="zh-CN"/>
              </w:rPr>
              <w:fldChar w:fldCharType="end"/>
            </w:r>
            <w:r>
              <w:rPr>
                <w:rFonts w:hint="eastAsia" w:ascii="仿宋" w:hAnsi="仿宋" w:eastAsia="仿宋" w:cs="仿宋"/>
                <w:b w:val="0"/>
                <w:bCs/>
                <w:sz w:val="20"/>
                <w:szCs w:val="20"/>
                <w:lang w:val="en-US" w:eastAsia="zh-CN"/>
              </w:rPr>
              <w:t>应用计量经济学</w:t>
            </w:r>
          </w:p>
        </w:tc>
        <w:tc>
          <w:tcPr>
            <w:tcW w:w="826" w:type="dxa"/>
          </w:tcPr>
          <w:p w14:paraId="2C27FEC6">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5</w:t>
            </w:r>
          </w:p>
        </w:tc>
        <w:tc>
          <w:tcPr>
            <w:tcW w:w="1867" w:type="dxa"/>
          </w:tcPr>
          <w:p w14:paraId="03920719">
            <w:pPr>
              <w:keepNext w:val="0"/>
              <w:keepLines w:val="0"/>
              <w:pageBreakBefore w:val="0"/>
              <w:numPr>
                <w:ilvl w:val="0"/>
                <w:numId w:val="0"/>
              </w:numPr>
              <w:kinsoku/>
              <w:wordWrap/>
              <w:overflowPunct/>
              <w:topLinePunct w:val="0"/>
              <w:bidi w:val="0"/>
              <w:spacing w:line="240" w:lineRule="auto"/>
              <w:jc w:val="left"/>
              <w:textAlignment w:val="auto"/>
              <w:rPr>
                <w:rFonts w:hint="default"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r w14:paraId="214A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7584E189">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Public Sector Accounting公共部门会计</w:t>
            </w:r>
          </w:p>
        </w:tc>
        <w:tc>
          <w:tcPr>
            <w:tcW w:w="826" w:type="dxa"/>
          </w:tcPr>
          <w:p w14:paraId="44DD1665">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6</w:t>
            </w:r>
          </w:p>
        </w:tc>
        <w:tc>
          <w:tcPr>
            <w:tcW w:w="1867" w:type="dxa"/>
          </w:tcPr>
          <w:p w14:paraId="2CDFB523">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r w14:paraId="47AA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7C1767A7">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Business Decisions经营决策</w:t>
            </w:r>
          </w:p>
        </w:tc>
        <w:tc>
          <w:tcPr>
            <w:tcW w:w="826" w:type="dxa"/>
          </w:tcPr>
          <w:p w14:paraId="47647C6B">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5</w:t>
            </w:r>
          </w:p>
        </w:tc>
        <w:tc>
          <w:tcPr>
            <w:tcW w:w="1867" w:type="dxa"/>
          </w:tcPr>
          <w:p w14:paraId="4E19A780">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r w14:paraId="7841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5635341E">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Social Economy Entities Management社会经济实体管理</w:t>
            </w:r>
          </w:p>
        </w:tc>
        <w:tc>
          <w:tcPr>
            <w:tcW w:w="826" w:type="dxa"/>
          </w:tcPr>
          <w:p w14:paraId="0E7000AA">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5</w:t>
            </w:r>
          </w:p>
        </w:tc>
        <w:tc>
          <w:tcPr>
            <w:tcW w:w="1867" w:type="dxa"/>
          </w:tcPr>
          <w:p w14:paraId="3BEBE4E7">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r w14:paraId="4810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59F16DD4">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Business Innovation and Technological Change企业创新与技术变革</w:t>
            </w:r>
          </w:p>
        </w:tc>
        <w:tc>
          <w:tcPr>
            <w:tcW w:w="826" w:type="dxa"/>
          </w:tcPr>
          <w:p w14:paraId="32CD46E2">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5</w:t>
            </w:r>
          </w:p>
        </w:tc>
        <w:tc>
          <w:tcPr>
            <w:tcW w:w="1867" w:type="dxa"/>
          </w:tcPr>
          <w:p w14:paraId="0ECBBA26">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r w14:paraId="28B3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047AD324">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fldChar w:fldCharType="begin"/>
            </w:r>
            <w:r>
              <w:rPr>
                <w:rFonts w:hint="eastAsia" w:ascii="仿宋" w:hAnsi="仿宋" w:eastAsia="仿宋" w:cs="仿宋"/>
                <w:b w:val="0"/>
                <w:bCs/>
                <w:sz w:val="20"/>
                <w:szCs w:val="20"/>
                <w:lang w:val="en-US" w:eastAsia="zh-CN"/>
              </w:rPr>
              <w:instrText xml:space="preserve"> HYPERLINK "https://estudios.unizar.es/estudio/asignatura?anyo_academico=2022&amp;asignatura_id=27339&amp;estudio_id=20220131&amp;centro_id=109&amp;plan_id_nk=448" </w:instrText>
            </w:r>
            <w:r>
              <w:rPr>
                <w:rFonts w:hint="eastAsia" w:ascii="仿宋" w:hAnsi="仿宋" w:eastAsia="仿宋" w:cs="仿宋"/>
                <w:b w:val="0"/>
                <w:bCs/>
                <w:sz w:val="20"/>
                <w:szCs w:val="20"/>
                <w:lang w:val="en-US" w:eastAsia="zh-CN"/>
              </w:rPr>
              <w:fldChar w:fldCharType="separate"/>
            </w:r>
            <w:r>
              <w:rPr>
                <w:rFonts w:hint="eastAsia" w:ascii="仿宋" w:hAnsi="仿宋" w:eastAsia="仿宋" w:cs="仿宋"/>
                <w:b w:val="0"/>
                <w:bCs/>
                <w:sz w:val="20"/>
                <w:szCs w:val="20"/>
                <w:lang w:val="en-US" w:eastAsia="zh-CN"/>
              </w:rPr>
              <w:t>Operative Research</w:t>
            </w:r>
            <w:r>
              <w:rPr>
                <w:rFonts w:hint="eastAsia" w:ascii="仿宋" w:hAnsi="仿宋" w:eastAsia="仿宋" w:cs="仿宋"/>
                <w:b w:val="0"/>
                <w:bCs/>
                <w:sz w:val="20"/>
                <w:szCs w:val="20"/>
                <w:lang w:val="en-US" w:eastAsia="zh-CN"/>
              </w:rPr>
              <w:fldChar w:fldCharType="end"/>
            </w:r>
            <w:r>
              <w:rPr>
                <w:rFonts w:hint="eastAsia" w:ascii="仿宋" w:hAnsi="仿宋" w:eastAsia="仿宋" w:cs="仿宋"/>
                <w:b w:val="0"/>
                <w:bCs/>
                <w:sz w:val="20"/>
                <w:szCs w:val="20"/>
                <w:lang w:val="en-US" w:eastAsia="zh-CN"/>
              </w:rPr>
              <w:t>运筹学</w:t>
            </w:r>
          </w:p>
        </w:tc>
        <w:tc>
          <w:tcPr>
            <w:tcW w:w="826" w:type="dxa"/>
          </w:tcPr>
          <w:p w14:paraId="0B90D25B">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5</w:t>
            </w:r>
          </w:p>
        </w:tc>
        <w:tc>
          <w:tcPr>
            <w:tcW w:w="1867" w:type="dxa"/>
          </w:tcPr>
          <w:p w14:paraId="0C8A3F88">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r w14:paraId="7A3D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064D1FBF">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Financial Markets 金融市场</w:t>
            </w:r>
          </w:p>
        </w:tc>
        <w:tc>
          <w:tcPr>
            <w:tcW w:w="826" w:type="dxa"/>
          </w:tcPr>
          <w:p w14:paraId="78A5545B">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6</w:t>
            </w:r>
          </w:p>
        </w:tc>
        <w:tc>
          <w:tcPr>
            <w:tcW w:w="1867" w:type="dxa"/>
          </w:tcPr>
          <w:p w14:paraId="7D882A1A">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r w14:paraId="1CA2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88" w:type="dxa"/>
          </w:tcPr>
          <w:p w14:paraId="0ED3A3CD">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fldChar w:fldCharType="begin"/>
            </w:r>
            <w:r>
              <w:rPr>
                <w:rFonts w:hint="eastAsia" w:ascii="仿宋" w:hAnsi="仿宋" w:eastAsia="仿宋" w:cs="仿宋"/>
                <w:b w:val="0"/>
                <w:bCs/>
                <w:sz w:val="20"/>
                <w:szCs w:val="20"/>
                <w:lang w:val="en-US" w:eastAsia="zh-CN"/>
              </w:rPr>
              <w:instrText xml:space="preserve"> HYPERLINK "https://estudios.unizar.es/estudio/asignatura?anyo_academico=2022&amp;asignatura_id=27344&amp;estudio_id=20220131&amp;centro_id=109&amp;plan_id_nk=448" </w:instrText>
            </w:r>
            <w:r>
              <w:rPr>
                <w:rFonts w:hint="eastAsia" w:ascii="仿宋" w:hAnsi="仿宋" w:eastAsia="仿宋" w:cs="仿宋"/>
                <w:b w:val="0"/>
                <w:bCs/>
                <w:sz w:val="20"/>
                <w:szCs w:val="20"/>
                <w:lang w:val="en-US" w:eastAsia="zh-CN"/>
              </w:rPr>
              <w:fldChar w:fldCharType="separate"/>
            </w:r>
            <w:r>
              <w:rPr>
                <w:rFonts w:hint="eastAsia" w:ascii="仿宋" w:hAnsi="仿宋" w:eastAsia="仿宋" w:cs="仿宋"/>
                <w:b w:val="0"/>
                <w:bCs/>
                <w:sz w:val="20"/>
                <w:szCs w:val="20"/>
                <w:lang w:val="en-US" w:eastAsia="zh-CN"/>
              </w:rPr>
              <w:t>Foreign Language for Business (English)</w:t>
            </w:r>
            <w:r>
              <w:rPr>
                <w:rFonts w:hint="eastAsia" w:ascii="仿宋" w:hAnsi="仿宋" w:eastAsia="仿宋" w:cs="仿宋"/>
                <w:b w:val="0"/>
                <w:bCs/>
                <w:sz w:val="20"/>
                <w:szCs w:val="20"/>
                <w:lang w:val="en-US" w:eastAsia="zh-CN"/>
              </w:rPr>
              <w:fldChar w:fldCharType="end"/>
            </w:r>
            <w:r>
              <w:rPr>
                <w:rFonts w:hint="eastAsia" w:ascii="仿宋" w:hAnsi="仿宋" w:eastAsia="仿宋" w:cs="仿宋"/>
                <w:b w:val="0"/>
                <w:bCs/>
                <w:sz w:val="20"/>
                <w:szCs w:val="20"/>
                <w:lang w:val="en-US" w:eastAsia="zh-CN"/>
              </w:rPr>
              <w:t xml:space="preserve"> 商务英语</w:t>
            </w:r>
          </w:p>
        </w:tc>
        <w:tc>
          <w:tcPr>
            <w:tcW w:w="826" w:type="dxa"/>
          </w:tcPr>
          <w:p w14:paraId="0FA6CEDD">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5</w:t>
            </w:r>
          </w:p>
        </w:tc>
        <w:tc>
          <w:tcPr>
            <w:tcW w:w="1867" w:type="dxa"/>
          </w:tcPr>
          <w:p w14:paraId="4005F226">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秋季/上学期</w:t>
            </w:r>
          </w:p>
        </w:tc>
      </w:tr>
    </w:tbl>
    <w:p w14:paraId="5F80C1B8">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sz w:val="20"/>
          <w:szCs w:val="20"/>
          <w:lang w:val="es-ES"/>
        </w:rPr>
      </w:pPr>
      <w:r>
        <w:rPr>
          <w:rFonts w:hint="eastAsia" w:ascii="仿宋" w:hAnsi="仿宋" w:eastAsia="仿宋" w:cs="仿宋"/>
          <w:b/>
          <w:sz w:val="20"/>
          <w:szCs w:val="20"/>
          <w:lang w:val="en-US" w:eastAsia="zh-CN"/>
        </w:rPr>
        <w:t>* 学分说明：</w:t>
      </w:r>
    </w:p>
    <w:p w14:paraId="4C3A955F">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西班牙语语言文化课10课时等于1学分；</w:t>
      </w:r>
    </w:p>
    <w:p w14:paraId="56C5F19F">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英语学分课程执行欧盟学分标准1学分（1ECTS）等于10课时课堂讲解及15课时学生课外学习</w:t>
      </w:r>
    </w:p>
    <w:p w14:paraId="3522157C">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kern w:val="2"/>
          <w:sz w:val="20"/>
          <w:szCs w:val="20"/>
          <w:lang w:val="en-US" w:eastAsia="zh-CN" w:bidi="ar-SA"/>
        </w:rPr>
        <w:t>以上专业科目为2025-26学年度科目，2026学年具体科目如有变化，以大学当年的课程通知为准。</w:t>
      </w:r>
    </w:p>
    <w:p w14:paraId="22524AEA">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b/>
          <w:bCs w:val="0"/>
          <w:sz w:val="20"/>
          <w:szCs w:val="20"/>
          <w:lang w:val="en-US" w:eastAsia="zh-CN"/>
        </w:rPr>
      </w:pPr>
    </w:p>
    <w:p w14:paraId="587F0291">
      <w:pPr>
        <w:keepNext w:val="0"/>
        <w:keepLines w:val="0"/>
        <w:pageBreakBefore w:val="0"/>
        <w:numPr>
          <w:ilvl w:val="0"/>
          <w:numId w:val="3"/>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val="0"/>
          <w:sz w:val="20"/>
          <w:szCs w:val="20"/>
          <w:lang w:val="en-US" w:eastAsia="zh-CN"/>
        </w:rPr>
      </w:pPr>
      <w:r>
        <w:rPr>
          <w:rFonts w:hint="eastAsia" w:ascii="仿宋" w:hAnsi="仿宋" w:eastAsia="仿宋" w:cs="仿宋"/>
          <w:b/>
          <w:bCs w:val="0"/>
          <w:sz w:val="20"/>
          <w:szCs w:val="20"/>
          <w:lang w:val="en-US" w:eastAsia="zh-CN"/>
        </w:rPr>
        <w:t>申请要求</w:t>
      </w:r>
    </w:p>
    <w:p w14:paraId="7E9DE136">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s-ES" w:eastAsia="zh-CN"/>
        </w:rPr>
      </w:pP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lang w:val="es-ES"/>
        </w:rPr>
        <w:t>年级要求：大二及以上全日制本科生招生，交流期间应为我校在校学生。专业不限，对方院校有关课程及要求可自行登陆网站查询：https://internacional.unizar.es/en/node/1725</w:t>
      </w:r>
      <w:r>
        <w:rPr>
          <w:rFonts w:hint="eastAsia" w:ascii="仿宋" w:hAnsi="仿宋" w:eastAsia="仿宋" w:cs="仿宋"/>
          <w:b w:val="0"/>
          <w:bCs/>
          <w:sz w:val="20"/>
          <w:szCs w:val="20"/>
          <w:lang w:val="es-ES" w:eastAsia="zh-CN"/>
        </w:rPr>
        <w:t>；</w:t>
      </w:r>
    </w:p>
    <w:p w14:paraId="2878F1D8">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lang w:val="es-ES" w:eastAsia="zh-CN"/>
        </w:rPr>
        <w:t>学分转换和课程认定需在出行前经教务处与学院核对确认。所修读的外方课程在与校内课程的学分认定过程中需遵循相同或相近原则。</w:t>
      </w:r>
    </w:p>
    <w:p w14:paraId="4384CF6A">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lang w:val="es-ES"/>
        </w:rPr>
        <w:t>外语水平</w:t>
      </w:r>
      <w:r>
        <w:rPr>
          <w:rFonts w:hint="eastAsia" w:ascii="仿宋" w:hAnsi="仿宋" w:eastAsia="仿宋" w:cs="仿宋"/>
          <w:b w:val="0"/>
          <w:bCs/>
          <w:sz w:val="20"/>
          <w:szCs w:val="20"/>
          <w:lang w:val="en-US" w:eastAsia="zh-CN"/>
        </w:rPr>
        <w:t>要求</w:t>
      </w:r>
      <w:r>
        <w:rPr>
          <w:rFonts w:hint="eastAsia" w:ascii="仿宋" w:hAnsi="仿宋" w:eastAsia="仿宋" w:cs="仿宋"/>
          <w:b w:val="0"/>
          <w:bCs/>
          <w:sz w:val="20"/>
          <w:szCs w:val="20"/>
          <w:lang w:val="es-ES"/>
        </w:rPr>
        <w:t>：</w:t>
      </w:r>
      <w:r>
        <w:rPr>
          <w:rFonts w:hint="eastAsia" w:ascii="仿宋" w:hAnsi="仿宋" w:eastAsia="仿宋" w:cs="仿宋"/>
          <w:b w:val="0"/>
          <w:bCs/>
          <w:sz w:val="20"/>
          <w:szCs w:val="20"/>
          <w:lang w:val="en-US" w:eastAsia="zh-CN"/>
        </w:rPr>
        <w:t>英语欧标B2（雅思5.5分及以上、剑桥FCE、剑桥BEC 2级或其他英语国际水平考试）</w:t>
      </w:r>
      <w:r>
        <w:rPr>
          <w:rFonts w:hint="eastAsia" w:ascii="仿宋" w:hAnsi="仿宋" w:eastAsia="仿宋" w:cs="仿宋"/>
          <w:b w:val="0"/>
          <w:bCs/>
          <w:sz w:val="20"/>
          <w:szCs w:val="20"/>
          <w:lang w:val="es-ES"/>
        </w:rPr>
        <w:t>；</w:t>
      </w:r>
      <w:r>
        <w:rPr>
          <w:rFonts w:hint="eastAsia" w:ascii="仿宋" w:hAnsi="仿宋" w:eastAsia="仿宋" w:cs="仿宋"/>
          <w:b w:val="0"/>
          <w:bCs/>
          <w:sz w:val="20"/>
          <w:szCs w:val="20"/>
          <w:lang w:val="en-US" w:eastAsia="zh-CN"/>
        </w:rPr>
        <w:t>无西班牙语等级要求</w:t>
      </w:r>
    </w:p>
    <w:p w14:paraId="4B419ABC">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b w:val="0"/>
          <w:bCs/>
          <w:sz w:val="20"/>
          <w:szCs w:val="20"/>
          <w:lang w:val="es-ES"/>
        </w:rPr>
      </w:pPr>
    </w:p>
    <w:p w14:paraId="7D72E984">
      <w:pPr>
        <w:keepNext w:val="0"/>
        <w:keepLines w:val="0"/>
        <w:pageBreakBefore w:val="0"/>
        <w:numPr>
          <w:ilvl w:val="0"/>
          <w:numId w:val="3"/>
        </w:numPr>
        <w:kinsoku/>
        <w:wordWrap/>
        <w:overflowPunct/>
        <w:topLinePunct w:val="0"/>
        <w:bidi w:val="0"/>
        <w:spacing w:line="240" w:lineRule="auto"/>
        <w:ind w:left="0" w:leftChars="0" w:firstLine="0" w:firstLineChars="0"/>
        <w:jc w:val="left"/>
        <w:textAlignment w:val="auto"/>
        <w:rPr>
          <w:rFonts w:hint="eastAsia" w:ascii="仿宋" w:hAnsi="仿宋" w:eastAsia="仿宋" w:cs="仿宋"/>
          <w:b/>
          <w:sz w:val="20"/>
          <w:szCs w:val="20"/>
        </w:rPr>
      </w:pPr>
      <w:r>
        <w:rPr>
          <w:rFonts w:hint="eastAsia" w:ascii="仿宋" w:hAnsi="仿宋" w:eastAsia="仿宋" w:cs="仿宋"/>
          <w:b/>
          <w:sz w:val="20"/>
          <w:szCs w:val="20"/>
        </w:rPr>
        <w:t>课外课时</w:t>
      </w:r>
      <w:r>
        <w:rPr>
          <w:rFonts w:hint="eastAsia" w:ascii="仿宋" w:hAnsi="仿宋" w:eastAsia="仿宋" w:cs="仿宋"/>
          <w:b/>
          <w:sz w:val="20"/>
          <w:szCs w:val="20"/>
          <w:lang w:val="en-US" w:eastAsia="zh-CN"/>
        </w:rPr>
        <w:t>54</w:t>
      </w:r>
      <w:r>
        <w:rPr>
          <w:rFonts w:hint="eastAsia" w:ascii="仿宋" w:hAnsi="仿宋" w:eastAsia="仿宋" w:cs="仿宋"/>
          <w:b/>
          <w:sz w:val="20"/>
          <w:szCs w:val="20"/>
        </w:rPr>
        <w:t>课时（含课外活动及课堂上老师布置的校外考察、调研及演讲准备时间）</w:t>
      </w:r>
    </w:p>
    <w:tbl>
      <w:tblPr>
        <w:tblStyle w:val="5"/>
        <w:tblW w:w="10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0"/>
        <w:gridCol w:w="8256"/>
      </w:tblGrid>
      <w:tr w14:paraId="577A2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0" w:type="dxa"/>
            <w:vAlign w:val="center"/>
          </w:tcPr>
          <w:p w14:paraId="3A0E8FCF">
            <w:pPr>
              <w:keepNext w:val="0"/>
              <w:keepLines w:val="0"/>
              <w:pageBreakBefore w:val="0"/>
              <w:kinsoku/>
              <w:wordWrap/>
              <w:overflowPunct/>
              <w:topLinePunct w:val="0"/>
              <w:bidi w:val="0"/>
              <w:spacing w:line="240" w:lineRule="auto"/>
              <w:jc w:val="center"/>
              <w:textAlignment w:val="auto"/>
              <w:rPr>
                <w:rFonts w:hint="eastAsia" w:ascii="仿宋" w:hAnsi="仿宋" w:eastAsia="仿宋" w:cs="仿宋"/>
                <w:b/>
                <w:sz w:val="20"/>
                <w:szCs w:val="20"/>
              </w:rPr>
            </w:pPr>
            <w:r>
              <w:rPr>
                <w:rFonts w:hint="eastAsia" w:ascii="仿宋" w:hAnsi="仿宋" w:eastAsia="仿宋" w:cs="仿宋"/>
                <w:b/>
                <w:sz w:val="20"/>
                <w:szCs w:val="20"/>
                <w:lang w:val="en-US" w:eastAsia="zh-CN"/>
              </w:rPr>
              <w:t>学分项目</w:t>
            </w:r>
            <w:r>
              <w:rPr>
                <w:rFonts w:hint="eastAsia" w:ascii="仿宋" w:hAnsi="仿宋" w:eastAsia="仿宋" w:cs="仿宋"/>
                <w:b/>
                <w:sz w:val="20"/>
                <w:szCs w:val="20"/>
              </w:rPr>
              <w:t>期间的文化活动安排</w:t>
            </w:r>
          </w:p>
        </w:tc>
        <w:tc>
          <w:tcPr>
            <w:tcW w:w="8256" w:type="dxa"/>
            <w:vAlign w:val="center"/>
          </w:tcPr>
          <w:p w14:paraId="3FD4FEF2">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学生就读语言期间，为了让学生充分了解西班牙的历史文化和人文风情，快速融入西班牙环境，除了课堂</w:t>
            </w:r>
            <w:r>
              <w:rPr>
                <w:rFonts w:hint="eastAsia" w:ascii="仿宋" w:hAnsi="仿宋" w:eastAsia="仿宋" w:cs="仿宋"/>
                <w:color w:val="000000"/>
                <w:sz w:val="20"/>
                <w:szCs w:val="20"/>
                <w:lang w:val="en-US" w:eastAsia="zh-CN"/>
              </w:rPr>
              <w:t>西班牙语课</w:t>
            </w:r>
            <w:r>
              <w:rPr>
                <w:rFonts w:hint="eastAsia" w:ascii="仿宋" w:hAnsi="仿宋" w:eastAsia="仿宋" w:cs="仿宋"/>
                <w:color w:val="000000"/>
                <w:sz w:val="20"/>
                <w:szCs w:val="20"/>
              </w:rPr>
              <w:t>，学校</w:t>
            </w:r>
            <w:r>
              <w:rPr>
                <w:rFonts w:hint="eastAsia" w:ascii="仿宋" w:hAnsi="仿宋" w:eastAsia="仿宋" w:cs="仿宋"/>
                <w:color w:val="000000"/>
                <w:sz w:val="20"/>
                <w:szCs w:val="20"/>
                <w:lang w:val="en-US" w:eastAsia="zh-CN"/>
              </w:rPr>
              <w:t>语言中心将安排丰富的</w:t>
            </w:r>
            <w:r>
              <w:rPr>
                <w:rFonts w:hint="eastAsia" w:ascii="仿宋" w:hAnsi="仿宋" w:eastAsia="仿宋" w:cs="仿宋"/>
                <w:color w:val="000000"/>
                <w:sz w:val="20"/>
                <w:szCs w:val="20"/>
              </w:rPr>
              <w:t>文化活动课，包括</w:t>
            </w:r>
          </w:p>
          <w:p w14:paraId="67454436">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萨拉戈萨城市环游</w:t>
            </w:r>
          </w:p>
          <w:p w14:paraId="595209D9">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参观大艺术家戈雅故乡</w:t>
            </w:r>
          </w:p>
          <w:p w14:paraId="799B53AC">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参观西班牙内战遗址</w:t>
            </w:r>
          </w:p>
          <w:p w14:paraId="17E83B67">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参观联合国科教文组织世界文化遗产穆德哈尔式建筑的故乡特鲁埃尔</w:t>
            </w:r>
          </w:p>
          <w:p w14:paraId="7272D105">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参观西法边境比利牛斯山自然公园</w:t>
            </w:r>
          </w:p>
          <w:p w14:paraId="6DDB1728">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参观北部巴斯克地区海滨城市圣塞巴斯蒂安</w:t>
            </w:r>
          </w:p>
          <w:p w14:paraId="04DA7810">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等等</w:t>
            </w:r>
          </w:p>
          <w:p w14:paraId="72DD2AF6">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i/>
                <w:iCs/>
                <w:color w:val="000000"/>
                <w:sz w:val="20"/>
                <w:szCs w:val="20"/>
                <w:lang w:eastAsia="zh-CN"/>
              </w:rPr>
              <w:t>（</w:t>
            </w:r>
            <w:r>
              <w:rPr>
                <w:rFonts w:hint="eastAsia" w:ascii="仿宋" w:hAnsi="仿宋" w:eastAsia="仿宋" w:cs="仿宋"/>
                <w:i/>
                <w:iCs/>
                <w:color w:val="000000"/>
                <w:sz w:val="20"/>
                <w:szCs w:val="20"/>
                <w:lang w:val="en-US" w:eastAsia="zh-CN"/>
              </w:rPr>
              <w:t>部分跨城市的文化活动学生需自理车费等基本开销，学生可根据学校通知自行决定是否参加，萨拉戈萨市内活动免费，需全体参加</w:t>
            </w:r>
            <w:r>
              <w:rPr>
                <w:rFonts w:hint="eastAsia" w:ascii="仿宋" w:hAnsi="仿宋" w:eastAsia="仿宋" w:cs="仿宋"/>
                <w:i/>
                <w:iCs/>
                <w:color w:val="000000"/>
                <w:sz w:val="20"/>
                <w:szCs w:val="20"/>
                <w:lang w:eastAsia="zh-CN"/>
              </w:rPr>
              <w:t>）</w:t>
            </w:r>
          </w:p>
        </w:tc>
      </w:tr>
    </w:tbl>
    <w:p w14:paraId="5FE3BF4E">
      <w:pPr>
        <w:keepNext w:val="0"/>
        <w:keepLines w:val="0"/>
        <w:pageBreakBefore w:val="0"/>
        <w:kinsoku/>
        <w:wordWrap/>
        <w:overflowPunct/>
        <w:topLinePunct w:val="0"/>
        <w:bidi w:val="0"/>
        <w:spacing w:line="240" w:lineRule="auto"/>
        <w:jc w:val="left"/>
        <w:textAlignment w:val="auto"/>
        <w:rPr>
          <w:rFonts w:hint="eastAsia" w:ascii="仿宋" w:hAnsi="仿宋" w:eastAsia="仿宋" w:cs="仿宋"/>
          <w:b/>
          <w:sz w:val="20"/>
          <w:szCs w:val="20"/>
        </w:rPr>
      </w:pPr>
    </w:p>
    <w:p w14:paraId="6A72F4FE">
      <w:pPr>
        <w:keepNext w:val="0"/>
        <w:keepLines w:val="0"/>
        <w:pageBreakBefore w:val="0"/>
        <w:numPr>
          <w:ilvl w:val="0"/>
          <w:numId w:val="3"/>
        </w:numPr>
        <w:kinsoku/>
        <w:wordWrap/>
        <w:overflowPunct/>
        <w:topLinePunct w:val="0"/>
        <w:bidi w:val="0"/>
        <w:spacing w:line="240" w:lineRule="auto"/>
        <w:ind w:left="0" w:leftChars="0" w:firstLine="0" w:firstLineChars="0"/>
        <w:jc w:val="left"/>
        <w:textAlignment w:val="auto"/>
        <w:rPr>
          <w:rFonts w:hint="eastAsia" w:ascii="仿宋" w:hAnsi="仿宋" w:eastAsia="仿宋" w:cs="仿宋"/>
          <w:b/>
          <w:sz w:val="20"/>
          <w:szCs w:val="20"/>
        </w:rPr>
      </w:pPr>
      <w:r>
        <w:rPr>
          <w:rFonts w:hint="eastAsia" w:ascii="仿宋" w:hAnsi="仿宋" w:eastAsia="仿宋" w:cs="仿宋"/>
          <w:b/>
          <w:sz w:val="20"/>
          <w:szCs w:val="20"/>
        </w:rPr>
        <w:t>学校服务及住宿安排</w:t>
      </w:r>
    </w:p>
    <w:tbl>
      <w:tblPr>
        <w:tblStyle w:val="5"/>
        <w:tblW w:w="10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3"/>
        <w:gridCol w:w="8199"/>
      </w:tblGrid>
      <w:tr w14:paraId="6F151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33" w:type="dxa"/>
            <w:vAlign w:val="center"/>
          </w:tcPr>
          <w:p w14:paraId="491EC67F">
            <w:pPr>
              <w:keepNext w:val="0"/>
              <w:keepLines w:val="0"/>
              <w:pageBreakBefore w:val="0"/>
              <w:kinsoku/>
              <w:wordWrap/>
              <w:overflowPunct/>
              <w:topLinePunct w:val="0"/>
              <w:bidi w:val="0"/>
              <w:spacing w:line="240" w:lineRule="auto"/>
              <w:jc w:val="center"/>
              <w:textAlignment w:val="auto"/>
              <w:rPr>
                <w:rFonts w:hint="eastAsia" w:ascii="仿宋" w:hAnsi="仿宋" w:eastAsia="仿宋" w:cs="仿宋"/>
                <w:b/>
                <w:sz w:val="20"/>
                <w:szCs w:val="20"/>
              </w:rPr>
            </w:pPr>
            <w:r>
              <w:rPr>
                <w:rFonts w:hint="eastAsia" w:ascii="仿宋" w:hAnsi="仿宋" w:eastAsia="仿宋" w:cs="仿宋"/>
                <w:b/>
                <w:color w:val="000000"/>
                <w:sz w:val="20"/>
                <w:szCs w:val="20"/>
              </w:rPr>
              <w:t>学校服务</w:t>
            </w:r>
          </w:p>
        </w:tc>
        <w:tc>
          <w:tcPr>
            <w:tcW w:w="8199" w:type="dxa"/>
            <w:vAlign w:val="center"/>
          </w:tcPr>
          <w:p w14:paraId="24B67FCF">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教材</w:t>
            </w:r>
          </w:p>
          <w:p w14:paraId="2FA20C83">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教学导师辅导</w:t>
            </w:r>
          </w:p>
          <w:p w14:paraId="1AA2C763">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学生个人情况跟进</w:t>
            </w:r>
          </w:p>
          <w:p w14:paraId="7F5F1F74">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大学校园卡</w:t>
            </w:r>
          </w:p>
          <w:p w14:paraId="3C25A24F">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大学邮箱账号</w:t>
            </w:r>
          </w:p>
          <w:p w14:paraId="421BA257">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校园内无线上网</w:t>
            </w:r>
          </w:p>
          <w:p w14:paraId="0C1BC8B0">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自由使用计算机教室</w:t>
            </w:r>
          </w:p>
          <w:p w14:paraId="5AB16918">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语言视听教室</w:t>
            </w:r>
          </w:p>
          <w:p w14:paraId="673BA6F4">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自由使用大学图书馆</w:t>
            </w:r>
          </w:p>
          <w:p w14:paraId="227E9DD4">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大学运动设施</w:t>
            </w:r>
          </w:p>
          <w:p w14:paraId="585D0F59">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提供住宿信息及帮助</w:t>
            </w:r>
          </w:p>
          <w:p w14:paraId="2FC5E476">
            <w:pPr>
              <w:keepNext w:val="0"/>
              <w:keepLines w:val="0"/>
              <w:pageBreakBefore w:val="0"/>
              <w:widowControl/>
              <w:kinsoku/>
              <w:wordWrap/>
              <w:overflowPunct/>
              <w:topLinePunct w:val="0"/>
              <w:bidi w:val="0"/>
              <w:spacing w:line="240" w:lineRule="auto"/>
              <w:jc w:val="left"/>
              <w:textAlignment w:val="auto"/>
              <w:rPr>
                <w:rFonts w:hint="eastAsia" w:ascii="仿宋" w:hAnsi="仿宋" w:eastAsia="仿宋" w:cs="仿宋"/>
                <w:sz w:val="20"/>
                <w:szCs w:val="20"/>
              </w:rPr>
            </w:pPr>
            <w:r>
              <w:rPr>
                <w:rFonts w:hint="eastAsia" w:ascii="仿宋" w:hAnsi="仿宋" w:eastAsia="仿宋" w:cs="仿宋"/>
                <w:color w:val="000000"/>
                <w:sz w:val="20"/>
                <w:szCs w:val="20"/>
              </w:rPr>
              <w:t>•</w:t>
            </w:r>
            <w:r>
              <w:rPr>
                <w:rFonts w:hint="eastAsia" w:ascii="仿宋" w:hAnsi="仿宋" w:eastAsia="仿宋" w:cs="仿宋"/>
                <w:color w:val="000000"/>
                <w:sz w:val="20"/>
                <w:szCs w:val="20"/>
              </w:rPr>
              <w:tab/>
            </w:r>
            <w:r>
              <w:rPr>
                <w:rFonts w:hint="eastAsia" w:ascii="仿宋" w:hAnsi="仿宋" w:eastAsia="仿宋" w:cs="仿宋"/>
                <w:color w:val="000000"/>
                <w:sz w:val="20"/>
                <w:szCs w:val="20"/>
              </w:rPr>
              <w:t>学校报告及成绩证明</w:t>
            </w:r>
          </w:p>
        </w:tc>
      </w:tr>
      <w:tr w14:paraId="0628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33" w:type="dxa"/>
            <w:vAlign w:val="center"/>
          </w:tcPr>
          <w:p w14:paraId="265BE5E3">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b/>
                <w:sz w:val="20"/>
                <w:szCs w:val="20"/>
              </w:rPr>
            </w:pPr>
            <w:r>
              <w:rPr>
                <w:rFonts w:hint="eastAsia" w:ascii="仿宋" w:hAnsi="仿宋" w:eastAsia="仿宋" w:cs="仿宋"/>
                <w:b/>
                <w:sz w:val="20"/>
                <w:szCs w:val="20"/>
              </w:rPr>
              <w:t>住宿</w:t>
            </w:r>
          </w:p>
        </w:tc>
        <w:tc>
          <w:tcPr>
            <w:tcW w:w="8199" w:type="dxa"/>
            <w:vAlign w:val="center"/>
          </w:tcPr>
          <w:p w14:paraId="1DC70EA0">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大学统一</w:t>
            </w:r>
            <w:r>
              <w:rPr>
                <w:rFonts w:hint="eastAsia" w:ascii="仿宋" w:hAnsi="仿宋" w:eastAsia="仿宋" w:cs="仿宋"/>
                <w:color w:val="000000"/>
                <w:sz w:val="20"/>
                <w:szCs w:val="20"/>
              </w:rPr>
              <w:t>安排当地住家，</w:t>
            </w:r>
            <w:r>
              <w:rPr>
                <w:rFonts w:hint="eastAsia" w:ascii="仿宋" w:hAnsi="仿宋" w:eastAsia="仿宋" w:cs="仿宋"/>
                <w:color w:val="000000"/>
                <w:sz w:val="20"/>
                <w:szCs w:val="20"/>
                <w:lang w:val="en-US" w:eastAsia="zh-CN"/>
              </w:rPr>
              <w:t>至少</w:t>
            </w:r>
            <w:r>
              <w:rPr>
                <w:rFonts w:hint="eastAsia" w:ascii="仿宋" w:hAnsi="仿宋" w:eastAsia="仿宋" w:cs="仿宋"/>
                <w:color w:val="000000"/>
                <w:sz w:val="20"/>
                <w:szCs w:val="20"/>
              </w:rPr>
              <w:t>需住满3个月，包三餐，水电煤网络全包。</w:t>
            </w:r>
          </w:p>
          <w:p w14:paraId="3843A3F7">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3个月后可自由选择是否续住</w:t>
            </w:r>
          </w:p>
          <w:p w14:paraId="5CD257E0">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 单人间7</w:t>
            </w:r>
            <w:r>
              <w:rPr>
                <w:rFonts w:hint="eastAsia" w:ascii="仿宋" w:hAnsi="仿宋" w:eastAsia="仿宋" w:cs="仿宋"/>
                <w:sz w:val="20"/>
                <w:szCs w:val="20"/>
                <w:lang w:val="en-US" w:eastAsia="zh-CN"/>
              </w:rPr>
              <w:t>75</w:t>
            </w:r>
            <w:r>
              <w:rPr>
                <w:rFonts w:hint="eastAsia" w:ascii="仿宋" w:hAnsi="仿宋" w:eastAsia="仿宋" w:cs="仿宋"/>
                <w:sz w:val="20"/>
                <w:szCs w:val="20"/>
              </w:rPr>
              <w:t xml:space="preserve">欧元/月/人 </w:t>
            </w:r>
          </w:p>
          <w:p w14:paraId="7CDB315C">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 200欧 住宿管理费</w:t>
            </w:r>
          </w:p>
          <w:p w14:paraId="5830D914">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3</w:t>
            </w:r>
            <w:r>
              <w:rPr>
                <w:rFonts w:hint="eastAsia" w:ascii="仿宋" w:hAnsi="仿宋" w:eastAsia="仿宋" w:cs="仿宋"/>
                <w:sz w:val="20"/>
                <w:szCs w:val="20"/>
              </w:rPr>
              <w:t xml:space="preserve">00欧 </w:t>
            </w:r>
            <w:r>
              <w:rPr>
                <w:rFonts w:hint="eastAsia" w:ascii="仿宋" w:hAnsi="仿宋" w:eastAsia="仿宋" w:cs="仿宋"/>
                <w:sz w:val="20"/>
                <w:szCs w:val="20"/>
                <w:lang w:val="en-US" w:eastAsia="zh-CN"/>
              </w:rPr>
              <w:t>住房押金</w:t>
            </w:r>
          </w:p>
        </w:tc>
      </w:tr>
    </w:tbl>
    <w:p w14:paraId="0D9AC74B">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b/>
          <w:sz w:val="24"/>
          <w:szCs w:val="40"/>
          <w:lang w:val="en-US" w:eastAsia="zh-CN"/>
        </w:rPr>
      </w:pPr>
    </w:p>
    <w:p w14:paraId="257EDAEF">
      <w:pPr>
        <w:keepNext w:val="0"/>
        <w:keepLines w:val="0"/>
        <w:pageBreakBefore w:val="0"/>
        <w:numPr>
          <w:ilvl w:val="0"/>
          <w:numId w:val="0"/>
        </w:numPr>
        <w:kinsoku/>
        <w:wordWrap/>
        <w:overflowPunct/>
        <w:topLinePunct w:val="0"/>
        <w:bidi w:val="0"/>
        <w:spacing w:line="240" w:lineRule="auto"/>
        <w:ind w:leftChars="0"/>
        <w:jc w:val="left"/>
        <w:textAlignment w:val="auto"/>
        <w:rPr>
          <w:rFonts w:hint="eastAsia" w:ascii="仿宋" w:hAnsi="仿宋" w:eastAsia="仿宋" w:cs="仿宋"/>
          <w:b/>
          <w:sz w:val="24"/>
          <w:szCs w:val="40"/>
          <w:lang w:val="en-US" w:eastAsia="zh-CN"/>
        </w:rPr>
      </w:pPr>
      <w:r>
        <w:rPr>
          <w:rFonts w:hint="eastAsia" w:ascii="仿宋" w:hAnsi="仿宋" w:eastAsia="仿宋" w:cs="仿宋"/>
          <w:b/>
          <w:sz w:val="24"/>
          <w:szCs w:val="40"/>
          <w:lang w:val="en-US" w:eastAsia="zh-CN"/>
        </w:rPr>
        <w:t>萨拉戈萨大学2026秋季学期交流生费用参考</w:t>
      </w:r>
    </w:p>
    <w:p w14:paraId="339B70DE">
      <w:pPr>
        <w:keepNext w:val="0"/>
        <w:keepLines w:val="0"/>
        <w:pageBreakBefore w:val="0"/>
        <w:kinsoku/>
        <w:wordWrap/>
        <w:overflowPunct/>
        <w:topLinePunct w:val="0"/>
        <w:bidi w:val="0"/>
        <w:spacing w:line="240" w:lineRule="auto"/>
        <w:textAlignment w:val="auto"/>
        <w:rPr>
          <w:rFonts w:hint="eastAsia" w:ascii="仿宋" w:hAnsi="仿宋" w:eastAsia="仿宋" w:cs="仿宋"/>
          <w:lang w:val="en-US" w:eastAsia="zh-CN"/>
        </w:rPr>
      </w:pPr>
    </w:p>
    <w:p w14:paraId="093587A3">
      <w:pPr>
        <w:keepNext w:val="0"/>
        <w:keepLines w:val="0"/>
        <w:pageBreakBefore w:val="0"/>
        <w:kinsoku/>
        <w:wordWrap/>
        <w:overflowPunct/>
        <w:topLinePunct w:val="0"/>
        <w:bidi w:val="0"/>
        <w:spacing w:line="24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 涉及欧元费用的，同时附折算后的人民币参考费用（按汇率1:8.2计算）</w:t>
      </w:r>
    </w:p>
    <w:p w14:paraId="39F05861">
      <w:pPr>
        <w:keepNext w:val="0"/>
        <w:keepLines w:val="0"/>
        <w:pageBreakBefore w:val="0"/>
        <w:kinsoku/>
        <w:wordWrap/>
        <w:overflowPunct/>
        <w:topLinePunct w:val="0"/>
        <w:bidi w:val="0"/>
        <w:spacing w:line="240" w:lineRule="auto"/>
        <w:textAlignment w:val="auto"/>
        <w:rPr>
          <w:rFonts w:hint="eastAsia" w:ascii="仿宋" w:hAnsi="仿宋" w:eastAsia="仿宋" w:cs="仿宋"/>
          <w:b/>
          <w:bCs/>
          <w:lang w:val="en-US" w:eastAsia="zh-CN"/>
        </w:rPr>
      </w:pPr>
    </w:p>
    <w:p w14:paraId="1689213F">
      <w:pPr>
        <w:keepNext w:val="0"/>
        <w:keepLines w:val="0"/>
        <w:pageBreakBefore w:val="0"/>
        <w:kinsoku/>
        <w:wordWrap/>
        <w:overflowPunct/>
        <w:topLinePunct w:val="0"/>
        <w:bidi w:val="0"/>
        <w:spacing w:line="24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国内办理费用参考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2585"/>
        <w:gridCol w:w="3930"/>
      </w:tblGrid>
      <w:tr w14:paraId="75B9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shd w:val="clear" w:color="auto" w:fill="DBEEF3" w:themeFill="accent5" w:themeFillTint="32"/>
          </w:tcPr>
          <w:p w14:paraId="0347A1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项目</w:t>
            </w:r>
          </w:p>
        </w:tc>
        <w:tc>
          <w:tcPr>
            <w:tcW w:w="2585" w:type="dxa"/>
            <w:shd w:val="clear" w:color="auto" w:fill="DBEEF3" w:themeFill="accent5" w:themeFillTint="32"/>
          </w:tcPr>
          <w:p w14:paraId="37CF6B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费用参考</w:t>
            </w:r>
          </w:p>
        </w:tc>
        <w:tc>
          <w:tcPr>
            <w:tcW w:w="3930" w:type="dxa"/>
            <w:shd w:val="clear" w:color="auto" w:fill="DBEEF3" w:themeFill="accent5" w:themeFillTint="32"/>
          </w:tcPr>
          <w:p w14:paraId="39A62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备注</w:t>
            </w:r>
          </w:p>
        </w:tc>
      </w:tr>
      <w:tr w14:paraId="4100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Pr>
          <w:p w14:paraId="676C21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护照申请</w:t>
            </w:r>
          </w:p>
        </w:tc>
        <w:tc>
          <w:tcPr>
            <w:tcW w:w="2585" w:type="dxa"/>
          </w:tcPr>
          <w:p w14:paraId="20378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200元</w:t>
            </w:r>
          </w:p>
        </w:tc>
        <w:tc>
          <w:tcPr>
            <w:tcW w:w="3930" w:type="dxa"/>
          </w:tcPr>
          <w:p w14:paraId="624852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交各地出入境管理局</w:t>
            </w:r>
          </w:p>
        </w:tc>
      </w:tr>
      <w:tr w14:paraId="1A4A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Pr>
          <w:p w14:paraId="73CA6B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西班牙留学生签证所需的材料费（包括但不仅限于公证及海牙认证费、体检费、翻译费等相关机构材料费）</w:t>
            </w:r>
          </w:p>
        </w:tc>
        <w:tc>
          <w:tcPr>
            <w:tcW w:w="2585" w:type="dxa"/>
          </w:tcPr>
          <w:p w14:paraId="3AB9FA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3000-3500人民币左右</w:t>
            </w:r>
          </w:p>
        </w:tc>
        <w:tc>
          <w:tcPr>
            <w:tcW w:w="3930" w:type="dxa"/>
          </w:tcPr>
          <w:p w14:paraId="21D76A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根据各个城市本地公证处等办事机构标准不同，费用略有不同，材料办理中直接向对应单位缴纳</w:t>
            </w:r>
          </w:p>
        </w:tc>
      </w:tr>
      <w:tr w14:paraId="09C4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Pr>
          <w:p w14:paraId="779FC1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机票费</w:t>
            </w:r>
          </w:p>
        </w:tc>
        <w:tc>
          <w:tcPr>
            <w:tcW w:w="2585" w:type="dxa"/>
          </w:tcPr>
          <w:p w14:paraId="7BAD00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highlight w:val="none"/>
              </w:rPr>
              <w:t>5500</w:t>
            </w:r>
            <w:r>
              <w:rPr>
                <w:rFonts w:hint="eastAsia" w:ascii="仿宋" w:hAnsi="仿宋" w:eastAsia="仿宋" w:cs="仿宋"/>
                <w:sz w:val="21"/>
                <w:szCs w:val="21"/>
                <w:highlight w:val="none"/>
                <w:lang w:val="en-US" w:eastAsia="zh-CN"/>
              </w:rPr>
              <w:t>-8000</w:t>
            </w:r>
            <w:r>
              <w:rPr>
                <w:rFonts w:hint="eastAsia" w:ascii="仿宋" w:hAnsi="仿宋" w:eastAsia="仿宋" w:cs="仿宋"/>
                <w:sz w:val="21"/>
                <w:szCs w:val="21"/>
              </w:rPr>
              <w:t>元左右</w:t>
            </w:r>
          </w:p>
        </w:tc>
        <w:tc>
          <w:tcPr>
            <w:tcW w:w="3930" w:type="dxa"/>
          </w:tcPr>
          <w:p w14:paraId="271624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根据航空公司和时期不同</w:t>
            </w:r>
            <w:r>
              <w:rPr>
                <w:rFonts w:hint="eastAsia" w:ascii="仿宋" w:hAnsi="仿宋" w:eastAsia="仿宋" w:cs="仿宋"/>
                <w:sz w:val="21"/>
                <w:szCs w:val="21"/>
                <w:lang w:val="en-US" w:eastAsia="zh-CN"/>
              </w:rPr>
              <w:t>会有上下浮动</w:t>
            </w:r>
          </w:p>
        </w:tc>
      </w:tr>
      <w:tr w14:paraId="7FE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Pr>
          <w:p w14:paraId="445210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签证费</w:t>
            </w:r>
          </w:p>
        </w:tc>
        <w:tc>
          <w:tcPr>
            <w:tcW w:w="2585" w:type="dxa"/>
          </w:tcPr>
          <w:p w14:paraId="19CDB1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983</w:t>
            </w:r>
            <w:r>
              <w:rPr>
                <w:rFonts w:hint="eastAsia" w:ascii="仿宋" w:hAnsi="仿宋" w:eastAsia="仿宋" w:cs="仿宋"/>
                <w:sz w:val="21"/>
                <w:szCs w:val="21"/>
              </w:rPr>
              <w:t>元人民币（</w:t>
            </w:r>
            <w:r>
              <w:rPr>
                <w:rFonts w:hint="eastAsia" w:ascii="仿宋" w:hAnsi="仿宋" w:eastAsia="仿宋" w:cs="仿宋"/>
                <w:sz w:val="21"/>
                <w:szCs w:val="21"/>
                <w:lang w:val="en-US" w:eastAsia="zh-CN"/>
              </w:rPr>
              <w:t>领馆会</w:t>
            </w:r>
            <w:r>
              <w:rPr>
                <w:rFonts w:hint="eastAsia" w:ascii="仿宋" w:hAnsi="仿宋" w:eastAsia="仿宋" w:cs="仿宋"/>
                <w:sz w:val="21"/>
                <w:szCs w:val="21"/>
              </w:rPr>
              <w:t>根据欧元汇率调整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包括签证中心取的快递费、拍照费等</w:t>
            </w:r>
            <w:r>
              <w:rPr>
                <w:rFonts w:hint="eastAsia" w:ascii="仿宋" w:hAnsi="仿宋" w:eastAsia="仿宋" w:cs="仿宋"/>
                <w:sz w:val="21"/>
                <w:szCs w:val="21"/>
              </w:rPr>
              <w:t>）</w:t>
            </w:r>
          </w:p>
        </w:tc>
        <w:tc>
          <w:tcPr>
            <w:tcW w:w="3930" w:type="dxa"/>
          </w:tcPr>
          <w:p w14:paraId="1844B42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递交签证申请时缴纳给西班牙签证中心</w:t>
            </w:r>
          </w:p>
        </w:tc>
      </w:tr>
    </w:tbl>
    <w:p w14:paraId="5CA11ACD">
      <w:pPr>
        <w:keepNext w:val="0"/>
        <w:keepLines w:val="0"/>
        <w:pageBreakBefore w:val="0"/>
        <w:kinsoku/>
        <w:wordWrap/>
        <w:overflowPunct/>
        <w:topLinePunct w:val="0"/>
        <w:bidi w:val="0"/>
        <w:spacing w:line="240" w:lineRule="auto"/>
        <w:textAlignment w:val="auto"/>
        <w:rPr>
          <w:rFonts w:hint="eastAsia" w:ascii="仿宋" w:hAnsi="仿宋" w:eastAsia="仿宋" w:cs="仿宋"/>
          <w:b/>
          <w:bCs/>
          <w:lang w:val="en-US" w:eastAsia="zh-CN"/>
        </w:rPr>
      </w:pPr>
    </w:p>
    <w:p w14:paraId="4B84789D">
      <w:pPr>
        <w:keepNext w:val="0"/>
        <w:keepLines w:val="0"/>
        <w:pageBreakBefore w:val="0"/>
        <w:kinsoku/>
        <w:wordWrap/>
        <w:overflowPunct/>
        <w:topLinePunct w:val="0"/>
        <w:bidi w:val="0"/>
        <w:spacing w:line="24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国外费用参考（1学期）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2900"/>
        <w:gridCol w:w="4157"/>
      </w:tblGrid>
      <w:tr w14:paraId="24EB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shd w:val="clear" w:color="auto" w:fill="DBEEF3" w:themeFill="accent5" w:themeFillTint="32"/>
          </w:tcPr>
          <w:p w14:paraId="4B24A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项目</w:t>
            </w:r>
          </w:p>
        </w:tc>
        <w:tc>
          <w:tcPr>
            <w:tcW w:w="2900" w:type="dxa"/>
            <w:shd w:val="clear" w:color="auto" w:fill="DBEEF3" w:themeFill="accent5" w:themeFillTint="32"/>
          </w:tcPr>
          <w:p w14:paraId="0524E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费用参考</w:t>
            </w:r>
          </w:p>
        </w:tc>
        <w:tc>
          <w:tcPr>
            <w:tcW w:w="4157" w:type="dxa"/>
            <w:shd w:val="clear" w:color="auto" w:fill="DBEEF3" w:themeFill="accent5" w:themeFillTint="32"/>
          </w:tcPr>
          <w:p w14:paraId="4E6CA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备注</w:t>
            </w:r>
          </w:p>
        </w:tc>
      </w:tr>
      <w:tr w14:paraId="221A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vAlign w:val="top"/>
          </w:tcPr>
          <w:p w14:paraId="293611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国外课程注册费</w:t>
            </w:r>
          </w:p>
        </w:tc>
        <w:tc>
          <w:tcPr>
            <w:tcW w:w="2900" w:type="dxa"/>
            <w:vAlign w:val="top"/>
          </w:tcPr>
          <w:p w14:paraId="299F53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2000元</w:t>
            </w:r>
          </w:p>
        </w:tc>
        <w:tc>
          <w:tcPr>
            <w:tcW w:w="4157" w:type="dxa"/>
            <w:vAlign w:val="top"/>
          </w:tcPr>
          <w:p w14:paraId="4C11D1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报名时由上海办公室代收</w:t>
            </w:r>
          </w:p>
        </w:tc>
      </w:tr>
      <w:tr w14:paraId="5E27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vAlign w:val="top"/>
          </w:tcPr>
          <w:p w14:paraId="0C5AC0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国外课程学费</w:t>
            </w:r>
          </w:p>
          <w:p w14:paraId="569CDB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1"/>
                <w:szCs w:val="21"/>
                <w:lang w:val="en-US" w:eastAsia="zh-CN" w:bidi="ar-SA"/>
              </w:rPr>
            </w:pPr>
          </w:p>
        </w:tc>
        <w:tc>
          <w:tcPr>
            <w:tcW w:w="2900" w:type="dxa"/>
            <w:vAlign w:val="top"/>
          </w:tcPr>
          <w:p w14:paraId="3B4DDC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3600欧元（约合人民币3万元）</w:t>
            </w:r>
          </w:p>
        </w:tc>
        <w:tc>
          <w:tcPr>
            <w:tcW w:w="4157" w:type="dxa"/>
            <w:vAlign w:val="top"/>
          </w:tcPr>
          <w:p w14:paraId="67D93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签证之前直接汇至西班牙，银行会收取约200元人民币左右的手续费</w:t>
            </w:r>
          </w:p>
        </w:tc>
      </w:tr>
      <w:tr w14:paraId="1562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tcPr>
          <w:p w14:paraId="6581EE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国外医疗保险（全医保）</w:t>
            </w:r>
          </w:p>
        </w:tc>
        <w:tc>
          <w:tcPr>
            <w:tcW w:w="2900" w:type="dxa"/>
          </w:tcPr>
          <w:p w14:paraId="0D091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vertAlign w:val="baseline"/>
                <w:lang w:val="en-US" w:eastAsia="zh-CN"/>
              </w:rPr>
              <w:t>240欧元（约2000元1学期）</w:t>
            </w:r>
          </w:p>
        </w:tc>
        <w:tc>
          <w:tcPr>
            <w:tcW w:w="4157" w:type="dxa"/>
          </w:tcPr>
          <w:p w14:paraId="587D38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签证之前直接与学费一同汇至西班牙</w:t>
            </w:r>
          </w:p>
        </w:tc>
      </w:tr>
      <w:tr w14:paraId="47D2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vAlign w:val="top"/>
          </w:tcPr>
          <w:p w14:paraId="2A70F4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交流一学</w:t>
            </w:r>
            <w:r>
              <w:rPr>
                <w:rFonts w:hint="eastAsia" w:ascii="仿宋" w:hAnsi="仿宋" w:eastAsia="仿宋" w:cs="仿宋"/>
                <w:sz w:val="21"/>
                <w:szCs w:val="21"/>
                <w:lang w:val="en-US" w:eastAsia="zh-CN"/>
              </w:rPr>
              <w:t>期基本衣食住行</w:t>
            </w:r>
            <w:r>
              <w:rPr>
                <w:rFonts w:hint="eastAsia" w:ascii="仿宋" w:hAnsi="仿宋" w:eastAsia="仿宋" w:cs="仿宋"/>
                <w:sz w:val="21"/>
                <w:szCs w:val="21"/>
              </w:rPr>
              <w:t>生活费预算（已含抵达</w:t>
            </w:r>
            <w:r>
              <w:rPr>
                <w:rFonts w:hint="eastAsia" w:ascii="仿宋" w:hAnsi="仿宋" w:eastAsia="仿宋" w:cs="仿宋"/>
                <w:sz w:val="21"/>
                <w:szCs w:val="21"/>
                <w:lang w:eastAsia="zh-CN"/>
              </w:rPr>
              <w:t>前</w:t>
            </w:r>
            <w:r>
              <w:rPr>
                <w:rFonts w:hint="eastAsia" w:ascii="仿宋" w:hAnsi="仿宋" w:eastAsia="仿宋" w:cs="仿宋"/>
                <w:sz w:val="21"/>
                <w:szCs w:val="21"/>
                <w:lang w:val="en-US" w:eastAsia="zh-CN"/>
              </w:rPr>
              <w:t>3</w:t>
            </w:r>
            <w:r>
              <w:rPr>
                <w:rFonts w:hint="eastAsia" w:ascii="仿宋" w:hAnsi="仿宋" w:eastAsia="仿宋" w:cs="仿宋"/>
                <w:sz w:val="21"/>
                <w:szCs w:val="21"/>
              </w:rPr>
              <w:t>个月学校</w:t>
            </w:r>
            <w:r>
              <w:rPr>
                <w:rFonts w:hint="eastAsia" w:ascii="仿宋" w:hAnsi="仿宋" w:eastAsia="仿宋" w:cs="仿宋"/>
                <w:sz w:val="21"/>
                <w:szCs w:val="21"/>
                <w:lang w:val="en-US" w:eastAsia="zh-CN"/>
              </w:rPr>
              <w:t>统一</w:t>
            </w:r>
            <w:r>
              <w:rPr>
                <w:rFonts w:hint="eastAsia" w:ascii="仿宋" w:hAnsi="仿宋" w:eastAsia="仿宋" w:cs="仿宋"/>
                <w:sz w:val="21"/>
                <w:szCs w:val="21"/>
              </w:rPr>
              <w:t>安排的住家</w:t>
            </w:r>
            <w:r>
              <w:rPr>
                <w:rFonts w:hint="eastAsia" w:ascii="仿宋" w:hAnsi="仿宋" w:eastAsia="仿宋" w:cs="仿宋"/>
                <w:sz w:val="21"/>
                <w:szCs w:val="21"/>
                <w:lang w:val="en-US" w:eastAsia="zh-CN"/>
              </w:rPr>
              <w:t>包三餐服务</w:t>
            </w:r>
            <w:r>
              <w:rPr>
                <w:rFonts w:hint="eastAsia" w:ascii="仿宋" w:hAnsi="仿宋" w:eastAsia="仿宋" w:cs="仿宋"/>
                <w:sz w:val="21"/>
                <w:szCs w:val="21"/>
              </w:rPr>
              <w:t>）</w:t>
            </w:r>
          </w:p>
        </w:tc>
        <w:tc>
          <w:tcPr>
            <w:tcW w:w="2900" w:type="dxa"/>
            <w:vAlign w:val="top"/>
          </w:tcPr>
          <w:p w14:paraId="1FBF6C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约合人民币3.5万元</w:t>
            </w:r>
          </w:p>
        </w:tc>
        <w:tc>
          <w:tcPr>
            <w:tcW w:w="4157" w:type="dxa"/>
            <w:vAlign w:val="top"/>
          </w:tcPr>
          <w:p w14:paraId="0C7C6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其中学校安排的住宿家庭费用与学费一同汇至西班牙</w:t>
            </w:r>
          </w:p>
          <w:p w14:paraId="05BC4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日常生活费，以及未来的租房费用签证后由学生本人带出国</w:t>
            </w:r>
          </w:p>
        </w:tc>
      </w:tr>
    </w:tbl>
    <w:p w14:paraId="54B03F70">
      <w:pPr>
        <w:keepNext w:val="0"/>
        <w:keepLines w:val="0"/>
        <w:pageBreakBefore w:val="0"/>
        <w:numPr>
          <w:ilvl w:val="0"/>
          <w:numId w:val="0"/>
        </w:numPr>
        <w:kinsoku/>
        <w:wordWrap/>
        <w:overflowPunct/>
        <w:topLinePunct w:val="0"/>
        <w:bidi w:val="0"/>
        <w:spacing w:line="240" w:lineRule="auto"/>
        <w:jc w:val="left"/>
        <w:textAlignment w:val="auto"/>
        <w:rPr>
          <w:rFonts w:hint="eastAsia" w:ascii="仿宋" w:hAnsi="仿宋" w:eastAsia="仿宋" w:cs="仿宋"/>
          <w:sz w:val="20"/>
          <w:szCs w:val="20"/>
          <w:lang w:val="en-US" w:eastAsia="zh-CN"/>
        </w:rPr>
      </w:pPr>
    </w:p>
    <w:p w14:paraId="6227933F">
      <w:pPr>
        <w:rPr>
          <w:rFonts w:hint="eastAsia" w:ascii="仿宋" w:hAnsi="仿宋" w:eastAsia="仿宋" w:cs="仿宋"/>
          <w:b/>
          <w:bCs/>
          <w:lang w:val="en-US" w:eastAsia="zh-CN"/>
        </w:rPr>
      </w:pPr>
      <w:r>
        <w:rPr>
          <w:rFonts w:hint="eastAsia" w:ascii="仿宋" w:hAnsi="仿宋" w:eastAsia="仿宋" w:cs="仿宋"/>
          <w:b/>
          <w:bCs/>
          <w:lang w:val="en-US" w:eastAsia="zh-CN"/>
        </w:rPr>
        <w:t>资助标准：</w:t>
      </w:r>
    </w:p>
    <w:p w14:paraId="107FE372">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1、本项目的资助名额为3人，名单由国际交流处和学院统一评定。自费名额不限。</w:t>
      </w:r>
    </w:p>
    <w:p w14:paraId="5B510B09">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2、学期交流生每人补助不超过3万元，包括机票、保险等形式。</w:t>
      </w:r>
    </w:p>
    <w:p w14:paraId="637EC579">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注：每位学生大学四年只能享受一次学生海外学习、实习项目资助。</w:t>
      </w:r>
    </w:p>
    <w:p w14:paraId="65BA4192">
      <w:pPr>
        <w:rPr>
          <w:rFonts w:hint="eastAsia" w:ascii="仿宋" w:hAnsi="仿宋" w:eastAsia="仿宋" w:cs="仿宋"/>
          <w:b/>
          <w:bCs/>
          <w:lang w:val="en-US" w:eastAsia="zh-CN"/>
        </w:rPr>
      </w:pPr>
      <w:r>
        <w:rPr>
          <w:rFonts w:hint="eastAsia" w:ascii="仿宋" w:hAnsi="仿宋" w:eastAsia="仿宋" w:cs="仿宋"/>
          <w:b/>
          <w:bCs/>
          <w:lang w:val="en-US" w:eastAsia="zh-CN"/>
        </w:rPr>
        <w:t>报名流程：</w:t>
      </w:r>
    </w:p>
    <w:p w14:paraId="6157DC92">
      <w:pPr>
        <w:rPr>
          <w:rFonts w:hint="default" w:ascii="仿宋" w:hAnsi="仿宋" w:eastAsia="仿宋" w:cs="仿宋"/>
          <w:b w:val="0"/>
          <w:bCs w:val="0"/>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lang w:val="en-US" w:eastAsia="zh-CN"/>
          <w14:textFill>
            <w14:solidFill>
              <w14:schemeClr w14:val="tx1"/>
            </w14:solidFill>
          </w14:textFill>
        </w:rPr>
        <w:t>秋季课程及年度课程报名截止日期：</w:t>
      </w:r>
      <w:r>
        <w:rPr>
          <w:rFonts w:hint="eastAsia" w:ascii="仿宋" w:hAnsi="仿宋" w:eastAsia="仿宋" w:cs="仿宋"/>
          <w:b w:val="0"/>
          <w:bCs w:val="0"/>
          <w:color w:val="000000" w:themeColor="text1"/>
          <w:highlight w:val="cyan"/>
          <w:lang w:val="en-US" w:eastAsia="zh-CN"/>
          <w14:textFill>
            <w14:solidFill>
              <w14:schemeClr w14:val="tx1"/>
            </w14:solidFill>
          </w14:textFill>
        </w:rPr>
        <w:t>2026年4月20日；</w:t>
      </w:r>
      <w:r>
        <w:rPr>
          <w:rFonts w:hint="eastAsia" w:ascii="仿宋" w:hAnsi="仿宋" w:eastAsia="仿宋" w:cs="仿宋"/>
          <w:b w:val="0"/>
          <w:bCs w:val="0"/>
          <w:color w:val="000000" w:themeColor="text1"/>
          <w:lang w:val="en-US" w:eastAsia="zh-CN"/>
          <w14:textFill>
            <w14:solidFill>
              <w14:schemeClr w14:val="tx1"/>
            </w14:solidFill>
          </w14:textFill>
        </w:rPr>
        <w:t>英语语言等级证书最晚6月份初递交</w:t>
      </w:r>
    </w:p>
    <w:p w14:paraId="7F3B6565">
      <w:pPr>
        <w:rPr>
          <w:rFonts w:hint="eastAsia" w:ascii="仿宋" w:hAnsi="仿宋" w:eastAsia="仿宋" w:cs="仿宋"/>
          <w:b/>
          <w:bCs/>
          <w:lang w:val="en-US" w:eastAsia="zh-CN"/>
        </w:rPr>
      </w:pPr>
    </w:p>
    <w:p w14:paraId="1A4D9095">
      <w:pPr>
        <w:rPr>
          <w:rFonts w:hint="eastAsia" w:ascii="仿宋" w:hAnsi="仿宋" w:eastAsia="仿宋" w:cs="仿宋"/>
          <w:sz w:val="20"/>
          <w:szCs w:val="20"/>
          <w:lang w:val="en-US" w:eastAsia="zh-CN"/>
        </w:rPr>
      </w:pPr>
      <w:r>
        <w:rPr>
          <w:rFonts w:hint="eastAsia" w:ascii="仿宋" w:hAnsi="仿宋" w:eastAsia="仿宋" w:cs="仿宋"/>
          <w:lang w:val="en-US" w:eastAsia="zh-CN"/>
        </w:rPr>
        <w:t>学生在OA系统里面的“在校生海外学习交流申请系统”提交线上交流交换申请，填写相关项目名称。按照费用介绍条款要求按时缴纳相关注册费、学费及住宿费以便申请递交领馆的相关通知书文件；</w:t>
      </w:r>
    </w:p>
    <w:p w14:paraId="50A3A20F">
      <w:pPr>
        <w:keepNext w:val="0"/>
        <w:keepLines w:val="0"/>
        <w:pageBreakBefore w:val="0"/>
        <w:numPr>
          <w:ilvl w:val="0"/>
          <w:numId w:val="0"/>
        </w:numPr>
        <w:kinsoku/>
        <w:wordWrap/>
        <w:overflowPunct/>
        <w:topLinePunct w:val="0"/>
        <w:bidi w:val="0"/>
        <w:spacing w:line="240" w:lineRule="auto"/>
        <w:ind w:leftChars="200"/>
        <w:jc w:val="left"/>
        <w:textAlignment w:val="auto"/>
        <w:rPr>
          <w:rFonts w:hint="eastAsia" w:ascii="仿宋" w:hAnsi="仿宋" w:eastAsia="仿宋" w:cs="仿宋"/>
          <w:sz w:val="20"/>
          <w:szCs w:val="20"/>
          <w:lang w:val="en-US" w:eastAsia="zh-CN"/>
        </w:rPr>
      </w:pPr>
    </w:p>
    <w:p w14:paraId="5283C355">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联系方式：</w:t>
      </w:r>
    </w:p>
    <w:p w14:paraId="0AF9A30A">
      <w:pPr>
        <w:rPr>
          <w:rFonts w:hint="eastAsia" w:ascii="仿宋" w:hAnsi="仿宋" w:eastAsia="仿宋" w:cs="仿宋"/>
          <w:b/>
          <w:sz w:val="20"/>
          <w:szCs w:val="20"/>
        </w:rPr>
      </w:pPr>
      <w:r>
        <w:rPr>
          <w:rFonts w:hint="eastAsia" w:ascii="仿宋" w:hAnsi="仿宋" w:eastAsia="仿宋" w:cs="仿宋"/>
          <w:b/>
          <w:bCs/>
          <w:sz w:val="24"/>
          <w:szCs w:val="24"/>
          <w:lang w:val="en-US" w:eastAsia="zh-CN"/>
        </w:rPr>
        <w:t>上海商学院：贺老师              电话：021-64870541</w:t>
      </w:r>
      <w:bookmarkStart w:id="0" w:name="_GoBack"/>
      <w:bookmarkEnd w:id="0"/>
    </w:p>
    <w:sectPr>
      <w:headerReference r:id="rId3" w:type="default"/>
      <w:pgSz w:w="11906" w:h="16838"/>
      <w:pgMar w:top="1871" w:right="936" w:bottom="1417" w:left="9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9B76">
    <w:pPr>
      <w:pStyle w:val="4"/>
      <w:pBdr>
        <w:bottom w:val="none" w:color="auto" w:sz="0" w:space="2"/>
      </w:pBdr>
    </w:pPr>
    <w:r>
      <w:drawing>
        <wp:anchor distT="0" distB="0" distL="114300" distR="114300" simplePos="0" relativeHeight="251659264" behindDoc="0" locked="0" layoutInCell="1" allowOverlap="1">
          <wp:simplePos x="0" y="0"/>
          <wp:positionH relativeFrom="column">
            <wp:posOffset>27940</wp:posOffset>
          </wp:positionH>
          <wp:positionV relativeFrom="paragraph">
            <wp:posOffset>-334645</wp:posOffset>
          </wp:positionV>
          <wp:extent cx="1649095" cy="596265"/>
          <wp:effectExtent l="0" t="0" r="1905" b="635"/>
          <wp:wrapSquare wrapText="bothSides"/>
          <wp:docPr id="140293" name="Picture 2" descr="C:\Users\MySpain\AppData\Roaming\Tencent\Users\2434563682\QQ\WinTemp\RichOle\~`JAMC9W3V}]TNU)Y}DCB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3" name="Picture 2" descr="C:\Users\MySpain\AppData\Roaming\Tencent\Users\2434563682\QQ\WinTemp\RichOle\~`JAMC9W3V}]TNU)Y}DCBKS.png"/>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1649095" cy="59626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7CE8D"/>
    <w:multiLevelType w:val="singleLevel"/>
    <w:tmpl w:val="C137CE8D"/>
    <w:lvl w:ilvl="0" w:tentative="0">
      <w:start w:val="1"/>
      <w:numFmt w:val="bullet"/>
      <w:lvlText w:val=""/>
      <w:lvlJc w:val="left"/>
      <w:pPr>
        <w:ind w:left="420" w:hanging="420"/>
      </w:pPr>
      <w:rPr>
        <w:rFonts w:hint="default" w:ascii="Wingdings" w:hAnsi="Wingdings"/>
      </w:rPr>
    </w:lvl>
  </w:abstractNum>
  <w:abstractNum w:abstractNumId="1">
    <w:nsid w:val="CD6F5C72"/>
    <w:multiLevelType w:val="singleLevel"/>
    <w:tmpl w:val="CD6F5C72"/>
    <w:lvl w:ilvl="0" w:tentative="0">
      <w:start w:val="1"/>
      <w:numFmt w:val="bullet"/>
      <w:lvlText w:val=""/>
      <w:lvlJc w:val="left"/>
      <w:pPr>
        <w:ind w:left="420" w:hanging="420"/>
      </w:pPr>
      <w:rPr>
        <w:rFonts w:hint="default" w:ascii="Wingdings" w:hAnsi="Wingdings"/>
      </w:rPr>
    </w:lvl>
  </w:abstractNum>
  <w:abstractNum w:abstractNumId="2">
    <w:nsid w:val="157E2754"/>
    <w:multiLevelType w:val="singleLevel"/>
    <w:tmpl w:val="157E2754"/>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Tc2MmJmOTI2ZDZhYTJhYmJjMWZkY2E2YzFhOGIifQ=="/>
  </w:docVars>
  <w:rsids>
    <w:rsidRoot w:val="00665BCE"/>
    <w:rsid w:val="000142C8"/>
    <w:rsid w:val="00043E77"/>
    <w:rsid w:val="00074397"/>
    <w:rsid w:val="000A19D3"/>
    <w:rsid w:val="000D0FD2"/>
    <w:rsid w:val="000F4DEA"/>
    <w:rsid w:val="0013206D"/>
    <w:rsid w:val="0013488C"/>
    <w:rsid w:val="00136492"/>
    <w:rsid w:val="00190A1F"/>
    <w:rsid w:val="0019587C"/>
    <w:rsid w:val="001B74CB"/>
    <w:rsid w:val="001F1F47"/>
    <w:rsid w:val="00256E78"/>
    <w:rsid w:val="00283F01"/>
    <w:rsid w:val="00284AD1"/>
    <w:rsid w:val="002850EE"/>
    <w:rsid w:val="00323EC6"/>
    <w:rsid w:val="00346B3D"/>
    <w:rsid w:val="00376AF2"/>
    <w:rsid w:val="003A4842"/>
    <w:rsid w:val="003D5E19"/>
    <w:rsid w:val="003E1641"/>
    <w:rsid w:val="0043046E"/>
    <w:rsid w:val="004C38BD"/>
    <w:rsid w:val="004D29F6"/>
    <w:rsid w:val="004F64B0"/>
    <w:rsid w:val="005251A1"/>
    <w:rsid w:val="00540654"/>
    <w:rsid w:val="00550D7D"/>
    <w:rsid w:val="0055352C"/>
    <w:rsid w:val="00561BC7"/>
    <w:rsid w:val="00594FD7"/>
    <w:rsid w:val="005A717A"/>
    <w:rsid w:val="005B10A4"/>
    <w:rsid w:val="005C6B91"/>
    <w:rsid w:val="005C7321"/>
    <w:rsid w:val="00606B73"/>
    <w:rsid w:val="00615904"/>
    <w:rsid w:val="006252F5"/>
    <w:rsid w:val="00625890"/>
    <w:rsid w:val="00665BCE"/>
    <w:rsid w:val="006851A7"/>
    <w:rsid w:val="006A2515"/>
    <w:rsid w:val="006A5353"/>
    <w:rsid w:val="006C4A3C"/>
    <w:rsid w:val="006D3DBF"/>
    <w:rsid w:val="006E4F19"/>
    <w:rsid w:val="00706A19"/>
    <w:rsid w:val="007267F8"/>
    <w:rsid w:val="007800A8"/>
    <w:rsid w:val="00783A62"/>
    <w:rsid w:val="0079567A"/>
    <w:rsid w:val="007A772C"/>
    <w:rsid w:val="007D0B11"/>
    <w:rsid w:val="007E1A51"/>
    <w:rsid w:val="007F55F9"/>
    <w:rsid w:val="0082187C"/>
    <w:rsid w:val="00823A98"/>
    <w:rsid w:val="008C390E"/>
    <w:rsid w:val="008D3DFD"/>
    <w:rsid w:val="008F3940"/>
    <w:rsid w:val="008F4A92"/>
    <w:rsid w:val="00903768"/>
    <w:rsid w:val="0094781D"/>
    <w:rsid w:val="009536EE"/>
    <w:rsid w:val="00960BE0"/>
    <w:rsid w:val="00967F51"/>
    <w:rsid w:val="009A06DE"/>
    <w:rsid w:val="009B6D0D"/>
    <w:rsid w:val="009B6D4D"/>
    <w:rsid w:val="009F5445"/>
    <w:rsid w:val="00A0098D"/>
    <w:rsid w:val="00A332DF"/>
    <w:rsid w:val="00A35694"/>
    <w:rsid w:val="00A52D44"/>
    <w:rsid w:val="00A65A29"/>
    <w:rsid w:val="00A66118"/>
    <w:rsid w:val="00A6769E"/>
    <w:rsid w:val="00A7191E"/>
    <w:rsid w:val="00A93A01"/>
    <w:rsid w:val="00AC51D2"/>
    <w:rsid w:val="00AF641B"/>
    <w:rsid w:val="00B120C4"/>
    <w:rsid w:val="00B1298F"/>
    <w:rsid w:val="00B2420A"/>
    <w:rsid w:val="00B31111"/>
    <w:rsid w:val="00B3261C"/>
    <w:rsid w:val="00B3278E"/>
    <w:rsid w:val="00B43AA3"/>
    <w:rsid w:val="00B4632A"/>
    <w:rsid w:val="00B5355C"/>
    <w:rsid w:val="00B561D6"/>
    <w:rsid w:val="00B82C1D"/>
    <w:rsid w:val="00BA2CE0"/>
    <w:rsid w:val="00BB1BBD"/>
    <w:rsid w:val="00BB5F5E"/>
    <w:rsid w:val="00BF3BA6"/>
    <w:rsid w:val="00C10FEA"/>
    <w:rsid w:val="00C2131D"/>
    <w:rsid w:val="00C32A37"/>
    <w:rsid w:val="00C36A2D"/>
    <w:rsid w:val="00C52B2C"/>
    <w:rsid w:val="00C53648"/>
    <w:rsid w:val="00C64A1E"/>
    <w:rsid w:val="00C832D5"/>
    <w:rsid w:val="00C9790F"/>
    <w:rsid w:val="00CA64D1"/>
    <w:rsid w:val="00CA7464"/>
    <w:rsid w:val="00D05D35"/>
    <w:rsid w:val="00D46C05"/>
    <w:rsid w:val="00D5123A"/>
    <w:rsid w:val="00D75B60"/>
    <w:rsid w:val="00D80EF3"/>
    <w:rsid w:val="00D95A56"/>
    <w:rsid w:val="00D96020"/>
    <w:rsid w:val="00DA2FDD"/>
    <w:rsid w:val="00DD032D"/>
    <w:rsid w:val="00E14FAC"/>
    <w:rsid w:val="00E45174"/>
    <w:rsid w:val="00EC39EC"/>
    <w:rsid w:val="00ED20EF"/>
    <w:rsid w:val="00ED3A3D"/>
    <w:rsid w:val="00F03818"/>
    <w:rsid w:val="00F079E9"/>
    <w:rsid w:val="00F471FB"/>
    <w:rsid w:val="00F66D05"/>
    <w:rsid w:val="00F95616"/>
    <w:rsid w:val="00FA7090"/>
    <w:rsid w:val="00FF39FF"/>
    <w:rsid w:val="062218A4"/>
    <w:rsid w:val="080A538D"/>
    <w:rsid w:val="09AF4121"/>
    <w:rsid w:val="09B266C6"/>
    <w:rsid w:val="09F55909"/>
    <w:rsid w:val="0D3D6F6B"/>
    <w:rsid w:val="0EDD334A"/>
    <w:rsid w:val="11390774"/>
    <w:rsid w:val="118E44DC"/>
    <w:rsid w:val="11DA4B39"/>
    <w:rsid w:val="120D4058"/>
    <w:rsid w:val="12F708E7"/>
    <w:rsid w:val="135507CC"/>
    <w:rsid w:val="13572CFF"/>
    <w:rsid w:val="141D3828"/>
    <w:rsid w:val="15AD66AA"/>
    <w:rsid w:val="15ED17B3"/>
    <w:rsid w:val="1BB630ED"/>
    <w:rsid w:val="1D3F38E6"/>
    <w:rsid w:val="1DF2268E"/>
    <w:rsid w:val="20476170"/>
    <w:rsid w:val="20965774"/>
    <w:rsid w:val="217B7DC4"/>
    <w:rsid w:val="22A87B75"/>
    <w:rsid w:val="22F61326"/>
    <w:rsid w:val="22FB05BD"/>
    <w:rsid w:val="234436D4"/>
    <w:rsid w:val="23CB5579"/>
    <w:rsid w:val="24800500"/>
    <w:rsid w:val="251A0B90"/>
    <w:rsid w:val="25693F31"/>
    <w:rsid w:val="26B11081"/>
    <w:rsid w:val="2A7A5A44"/>
    <w:rsid w:val="2D824527"/>
    <w:rsid w:val="30201025"/>
    <w:rsid w:val="31772EC7"/>
    <w:rsid w:val="32BD7BD4"/>
    <w:rsid w:val="33716BC0"/>
    <w:rsid w:val="337B1B69"/>
    <w:rsid w:val="33D07587"/>
    <w:rsid w:val="33F04EB6"/>
    <w:rsid w:val="340A0022"/>
    <w:rsid w:val="38DB36D9"/>
    <w:rsid w:val="393B0C7E"/>
    <w:rsid w:val="39CD0CF6"/>
    <w:rsid w:val="3A6F6E31"/>
    <w:rsid w:val="3AC0768C"/>
    <w:rsid w:val="3B181276"/>
    <w:rsid w:val="3C544530"/>
    <w:rsid w:val="3C6E38EE"/>
    <w:rsid w:val="3DAD4BA5"/>
    <w:rsid w:val="3FCA690E"/>
    <w:rsid w:val="4037219F"/>
    <w:rsid w:val="40D07D0B"/>
    <w:rsid w:val="411E2F65"/>
    <w:rsid w:val="42334BE8"/>
    <w:rsid w:val="42EB4309"/>
    <w:rsid w:val="453F4F8E"/>
    <w:rsid w:val="4574763F"/>
    <w:rsid w:val="47CB0C4B"/>
    <w:rsid w:val="497642D1"/>
    <w:rsid w:val="49D7054F"/>
    <w:rsid w:val="4C33604D"/>
    <w:rsid w:val="4C737F75"/>
    <w:rsid w:val="52F70E33"/>
    <w:rsid w:val="55B55BE8"/>
    <w:rsid w:val="564D4072"/>
    <w:rsid w:val="58900246"/>
    <w:rsid w:val="59213594"/>
    <w:rsid w:val="59A83BAB"/>
    <w:rsid w:val="59C36E73"/>
    <w:rsid w:val="59D572CF"/>
    <w:rsid w:val="5AA75D1B"/>
    <w:rsid w:val="5D02606B"/>
    <w:rsid w:val="5D1F77E7"/>
    <w:rsid w:val="5EA90EB6"/>
    <w:rsid w:val="5F1576F7"/>
    <w:rsid w:val="61A24698"/>
    <w:rsid w:val="620F0948"/>
    <w:rsid w:val="62D41677"/>
    <w:rsid w:val="65AB5A5D"/>
    <w:rsid w:val="672C1A82"/>
    <w:rsid w:val="685C200E"/>
    <w:rsid w:val="6A9260A0"/>
    <w:rsid w:val="6DC62E51"/>
    <w:rsid w:val="6FCF5AA8"/>
    <w:rsid w:val="71224321"/>
    <w:rsid w:val="71DB20DB"/>
    <w:rsid w:val="737B543B"/>
    <w:rsid w:val="74E8168C"/>
    <w:rsid w:val="757F5473"/>
    <w:rsid w:val="759E615E"/>
    <w:rsid w:val="75FE0A8D"/>
    <w:rsid w:val="781508AA"/>
    <w:rsid w:val="789C050D"/>
    <w:rsid w:val="78A420D1"/>
    <w:rsid w:val="79642B87"/>
    <w:rsid w:val="7A815913"/>
    <w:rsid w:val="7ABD6981"/>
    <w:rsid w:val="7B0216BD"/>
    <w:rsid w:val="7C2E374F"/>
    <w:rsid w:val="7C8B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12"/>
    <w:autoRedefine/>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autoRedefine/>
    <w:qFormat/>
    <w:uiPriority w:val="20"/>
    <w:rPr>
      <w:i/>
    </w:rPr>
  </w:style>
  <w:style w:type="character" w:styleId="9">
    <w:name w:val="Hyperlink"/>
    <w:basedOn w:val="7"/>
    <w:autoRedefine/>
    <w:unhideWhenUsed/>
    <w:qFormat/>
    <w:uiPriority w:val="99"/>
    <w:rPr>
      <w:color w:val="0000FF"/>
      <w:u w:val="single"/>
    </w:rPr>
  </w:style>
  <w:style w:type="character" w:customStyle="1" w:styleId="10">
    <w:name w:val="页眉 Char"/>
    <w:basedOn w:val="7"/>
    <w:link w:val="4"/>
    <w:autoRedefine/>
    <w:semiHidden/>
    <w:qFormat/>
    <w:uiPriority w:val="99"/>
    <w:rPr>
      <w:sz w:val="18"/>
      <w:szCs w:val="18"/>
    </w:rPr>
  </w:style>
  <w:style w:type="character" w:customStyle="1" w:styleId="11">
    <w:name w:val="页脚 Char"/>
    <w:basedOn w:val="7"/>
    <w:link w:val="3"/>
    <w:autoRedefine/>
    <w:semiHidden/>
    <w:qFormat/>
    <w:uiPriority w:val="99"/>
    <w:rPr>
      <w:sz w:val="18"/>
      <w:szCs w:val="18"/>
    </w:rPr>
  </w:style>
  <w:style w:type="character" w:customStyle="1" w:styleId="12">
    <w:name w:val="批注框文本 Char"/>
    <w:basedOn w:val="7"/>
    <w:link w:val="2"/>
    <w:autoRedefine/>
    <w:semiHidden/>
    <w:qFormat/>
    <w:uiPriority w:val="99"/>
    <w:rPr>
      <w:sz w:val="18"/>
      <w:szCs w:val="18"/>
    </w:rPr>
  </w:style>
  <w:style w:type="paragraph" w:customStyle="1" w:styleId="13">
    <w:name w:val="List Paragraph"/>
    <w:basedOn w:val="1"/>
    <w:autoRedefine/>
    <w:qFormat/>
    <w:uiPriority w:val="34"/>
    <w:pPr>
      <w:ind w:firstLine="420" w:firstLineChars="200"/>
    </w:pPr>
  </w:style>
  <w:style w:type="paragraph" w:customStyle="1" w:styleId="14">
    <w:name w:val="列出段落1"/>
    <w:basedOn w:val="1"/>
    <w:autoRedefine/>
    <w:qFormat/>
    <w:uiPriority w:val="0"/>
    <w:pPr>
      <w:ind w:firstLine="420" w:firstLineChars="200"/>
    </w:pPr>
  </w:style>
  <w:style w:type="paragraph" w:customStyle="1" w:styleId="15">
    <w:name w:val="Párrafo de lista1"/>
    <w:basedOn w:val="1"/>
    <w:autoRedefine/>
    <w:qFormat/>
    <w:uiPriority w:val="34"/>
    <w:pPr>
      <w:ind w:firstLine="420" w:firstLineChars="200"/>
    </w:pPr>
  </w:style>
  <w:style w:type="paragraph" w:customStyle="1" w:styleId="16">
    <w:name w:val="正文1"/>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2613</Words>
  <Characters>2978</Characters>
  <Lines>11</Lines>
  <Paragraphs>3</Paragraphs>
  <TotalTime>8</TotalTime>
  <ScaleCrop>false</ScaleCrop>
  <LinksUpToDate>false</LinksUpToDate>
  <CharactersWithSpaces>3015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2016-10-11T07:51:00Z</dcterms:created>
  <dc:creator>RuthSun</dc:creator>
  <cp:lastModifiedBy>魚丸粗麵.</cp:lastModifiedBy>
  <cp:lastPrinted>2019-03-01T05:00:00Z</cp:lastPrinted>
  <dcterms:modified xsi:type="dcterms:W3CDTF">2026-02-26T02:57:31Z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RubyTemplateID" linkTarget="0">
    <vt:lpwstr>6</vt:lpwstr>
  </property>
  <property fmtid="{D5CDD505-2E9C-101B-9397-08002B2CF9AE}" pid="4" name="ICV">
    <vt:lpwstr>E9794A48056E4D17A2A7E892B009E0B7_13</vt:lpwstr>
  </property>
  <property fmtid="{D5CDD505-2E9C-101B-9397-08002B2CF9AE}" pid="5" name="KSOTemplateDocerSaveRecord">
    <vt:lpwstr>eyJoZGlkIjoiMjUzMTc2MmJmOTI2ZDZhYTJhYmJjMWZkY2E2YzFhOGIiLCJ1c2VySWQiOiIyNTEyODcwNjEifQ==</vt:lpwstr>
  </property>
</Properties>
</file>